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7114BE" w14:paraId="3D64E2AB" w14:textId="77777777" w:rsidTr="007E1D85">
        <w:tc>
          <w:tcPr>
            <w:tcW w:w="5211" w:type="dxa"/>
            <w:hideMark/>
          </w:tcPr>
          <w:p w14:paraId="5483F828" w14:textId="77777777" w:rsidR="008C015B" w:rsidRPr="008C015B" w:rsidRDefault="007E1D85" w:rsidP="004954E1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val="en-US" w:eastAsia="ru-RU"/>
              </w:rPr>
            </w:pPr>
            <w:r w:rsidRPr="00870BA9"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  <w:t xml:space="preserve">               </w:t>
            </w:r>
          </w:p>
          <w:p w14:paraId="65D3F191" w14:textId="77777777" w:rsidR="007E1D85" w:rsidRPr="00870BA9" w:rsidRDefault="007E1D85" w:rsidP="004954E1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14:paraId="0EE73C1E" w14:textId="77777777" w:rsidR="00783F38" w:rsidRPr="007114BE" w:rsidRDefault="00783F38" w:rsidP="00783F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114BE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57FA08B7" w14:textId="77777777" w:rsidR="00783F38" w:rsidRPr="007114BE" w:rsidRDefault="00783F38" w:rsidP="00783F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4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Председателя </w:t>
            </w:r>
          </w:p>
          <w:p w14:paraId="2E2D28B4" w14:textId="77777777" w:rsidR="00783F38" w:rsidRPr="007114BE" w:rsidRDefault="00783F38" w:rsidP="00783F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4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РГУ «Комитет </w:t>
            </w:r>
            <w:r w:rsidR="000557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медицинского и фармацевтического </w:t>
            </w:r>
            <w:proofErr w:type="spellStart"/>
            <w:r w:rsidRPr="007114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</w:t>
            </w:r>
            <w:proofErr w:type="spellEnd"/>
            <w:r w:rsidRPr="007114BE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я</w:t>
            </w:r>
            <w:r w:rsidRPr="007114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157F3B2A" w14:textId="77777777" w:rsidR="00783F38" w:rsidRPr="007114BE" w:rsidRDefault="00783F38" w:rsidP="00783F38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7114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7114BE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4D0D6F75" w14:textId="77777777" w:rsidR="00783F38" w:rsidRPr="007114BE" w:rsidRDefault="00783F38" w:rsidP="00783F38">
            <w:pPr>
              <w:keepNext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114BE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Казахстан»</w:t>
            </w:r>
          </w:p>
          <w:p w14:paraId="1779B3FF" w14:textId="038F4C14" w:rsidR="00783F38" w:rsidRPr="007114BE" w:rsidRDefault="00783F38" w:rsidP="00783F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14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BB6AB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28</w:t>
            </w:r>
            <w:r w:rsidRPr="007114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BB6AB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сентября </w:t>
            </w:r>
            <w:r w:rsidRPr="007114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BB6AB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21 </w:t>
            </w:r>
            <w:r w:rsidRPr="007114B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14:paraId="32FB04F8" w14:textId="62B70A38" w:rsidR="00523D82" w:rsidRPr="007114BE" w:rsidRDefault="00783F38" w:rsidP="00783F38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  <w:r w:rsidRPr="007114BE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№ </w:t>
            </w:r>
            <w:r w:rsidR="00BB6AB2" w:rsidRPr="00BB6A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N043244</w:t>
            </w:r>
          </w:p>
        </w:tc>
        <w:tc>
          <w:tcPr>
            <w:tcW w:w="4536" w:type="dxa"/>
          </w:tcPr>
          <w:p w14:paraId="62FA74EF" w14:textId="77777777" w:rsidR="00523D82" w:rsidRPr="007114BE" w:rsidRDefault="00D46B0B" w:rsidP="00495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114BE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7114BE" w14:paraId="52C80D15" w14:textId="77777777" w:rsidTr="007E1D85">
        <w:tc>
          <w:tcPr>
            <w:tcW w:w="5211" w:type="dxa"/>
          </w:tcPr>
          <w:p w14:paraId="62589EE6" w14:textId="77777777" w:rsidR="00523D82" w:rsidRPr="007114BE" w:rsidRDefault="00523D82" w:rsidP="004954E1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7CD4C327" w14:textId="77777777" w:rsidR="00523D82" w:rsidRPr="007114BE" w:rsidRDefault="00523D82" w:rsidP="004954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094FBB10" w14:textId="77777777" w:rsidR="00523D82" w:rsidRPr="007114BE" w:rsidRDefault="00523D82" w:rsidP="004954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7114BE" w14:paraId="776EB0B9" w14:textId="77777777" w:rsidTr="007E1D85">
        <w:trPr>
          <w:trHeight w:val="80"/>
        </w:trPr>
        <w:tc>
          <w:tcPr>
            <w:tcW w:w="5211" w:type="dxa"/>
          </w:tcPr>
          <w:p w14:paraId="5FAAC847" w14:textId="77777777" w:rsidR="00523D82" w:rsidRPr="007114BE" w:rsidRDefault="00523D82" w:rsidP="004954E1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35D229FB" w14:textId="77777777" w:rsidR="00523D82" w:rsidRPr="007114BE" w:rsidRDefault="00523D82" w:rsidP="00495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14:paraId="5AA14205" w14:textId="77777777" w:rsidR="00523D82" w:rsidRPr="007114BE" w:rsidRDefault="00523D82" w:rsidP="004954E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C7EB386" w14:textId="77777777" w:rsidR="00FE075E" w:rsidRPr="00FE075E" w:rsidRDefault="00FE075E" w:rsidP="00FE07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075E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53BA0182" w14:textId="77777777" w:rsidR="00FE075E" w:rsidRPr="00FE075E" w:rsidRDefault="00FE075E" w:rsidP="00FE07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E075E">
        <w:rPr>
          <w:rFonts w:ascii="Times New Roman" w:eastAsia="Times New Roman" w:hAnsi="Times New Roman"/>
          <w:b/>
          <w:sz w:val="28"/>
          <w:szCs w:val="28"/>
          <w:lang w:eastAsia="ru-RU"/>
        </w:rPr>
        <w:t>лекарственного препарата (Листок-вкладыш)</w:t>
      </w:r>
    </w:p>
    <w:p w14:paraId="21D8AC60" w14:textId="77777777" w:rsidR="00232642" w:rsidRPr="007114BE" w:rsidRDefault="00232642" w:rsidP="00FE075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05991AE" w14:textId="77777777" w:rsidR="00D76048" w:rsidRPr="007114BE" w:rsidRDefault="00FE075E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орговое наименование  </w:t>
      </w:r>
    </w:p>
    <w:p w14:paraId="57367988" w14:textId="77777777" w:rsidR="00697B98" w:rsidRPr="007114BE" w:rsidRDefault="006360EC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ДИКЛОСЕЙФ</w:t>
      </w:r>
      <w:r w:rsidR="00697B98" w:rsidRPr="007114B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="00697B98"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FE12E85" w14:textId="77777777" w:rsidR="00904376" w:rsidRPr="007114BE" w:rsidRDefault="00904376" w:rsidP="009043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CC29588" w14:textId="77777777" w:rsidR="00904376" w:rsidRPr="007114BE" w:rsidRDefault="00904376" w:rsidP="009043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2FEF6DDB" w14:textId="77777777" w:rsidR="00904376" w:rsidRPr="007114BE" w:rsidRDefault="006360EC" w:rsidP="009043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Диклофенак</w:t>
      </w:r>
    </w:p>
    <w:p w14:paraId="0F56302C" w14:textId="77777777" w:rsidR="00904376" w:rsidRPr="007114BE" w:rsidRDefault="00904376" w:rsidP="009043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82B1A4" w14:textId="77777777" w:rsidR="00904376" w:rsidRPr="007114BE" w:rsidRDefault="00904376" w:rsidP="0090437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дозировка  </w:t>
      </w:r>
    </w:p>
    <w:p w14:paraId="48E5E07B" w14:textId="77777777" w:rsidR="006360EC" w:rsidRPr="007114BE" w:rsidRDefault="006360EC" w:rsidP="006360EC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</w:pPr>
      <w:proofErr w:type="spellStart"/>
      <w:r w:rsidRPr="007114BE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>Cуппозитории</w:t>
      </w:r>
      <w:proofErr w:type="spellEnd"/>
      <w:r w:rsidRPr="007114BE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 xml:space="preserve"> ректальные, </w:t>
      </w:r>
      <w:r w:rsidR="0005577B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>10</w:t>
      </w:r>
      <w:r w:rsidR="000A584E" w:rsidRPr="007114BE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>0</w:t>
      </w:r>
      <w:r w:rsidRPr="007114BE"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  <w:t xml:space="preserve"> мг</w:t>
      </w:r>
    </w:p>
    <w:p w14:paraId="35E1AAEC" w14:textId="77777777" w:rsidR="002C1660" w:rsidRPr="007114BE" w:rsidRDefault="00AE7922" w:rsidP="004954E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</w:pPr>
      <w:bookmarkStart w:id="0" w:name="OCRUncertain022"/>
      <w:r w:rsidRPr="007114BE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0"/>
      <w:r w:rsidRPr="007114BE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7114BE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2D66EA37" w14:textId="5E25C9CF" w:rsidR="000A584E" w:rsidRPr="007114BE" w:rsidRDefault="000A584E" w:rsidP="000A58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bCs/>
          <w:sz w:val="28"/>
          <w:szCs w:val="28"/>
          <w:lang w:eastAsia="zh-CN"/>
        </w:rPr>
      </w:pPr>
      <w:r w:rsidRPr="007114BE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Костно-мышечная система. </w:t>
      </w:r>
      <w:r w:rsidRPr="007114BE">
        <w:rPr>
          <w:rFonts w:ascii="Times New Roman" w:eastAsia="SimSun" w:hAnsi="Times New Roman"/>
          <w:sz w:val="28"/>
          <w:szCs w:val="28"/>
          <w:lang w:eastAsia="zh-CN"/>
        </w:rPr>
        <w:t>Противовоспалительные и противоревматические препараты. Противовоспалительные и противоревматические препар</w:t>
      </w:r>
      <w:r w:rsidR="00E45C13">
        <w:rPr>
          <w:rFonts w:ascii="Times New Roman" w:eastAsia="SimSun" w:hAnsi="Times New Roman"/>
          <w:sz w:val="28"/>
          <w:szCs w:val="28"/>
          <w:lang w:eastAsia="zh-CN"/>
        </w:rPr>
        <w:t>аты, нестероидные. У</w:t>
      </w:r>
      <w:r w:rsidRPr="007114BE">
        <w:rPr>
          <w:rFonts w:ascii="Times New Roman" w:eastAsia="SimSun" w:hAnsi="Times New Roman"/>
          <w:sz w:val="28"/>
          <w:szCs w:val="28"/>
          <w:lang w:eastAsia="zh-CN"/>
        </w:rPr>
        <w:t>ксусной кислоты</w:t>
      </w:r>
      <w:r w:rsidR="00E45C13">
        <w:rPr>
          <w:rFonts w:ascii="Times New Roman" w:eastAsia="SimSun" w:hAnsi="Times New Roman"/>
          <w:sz w:val="28"/>
          <w:szCs w:val="28"/>
          <w:lang w:eastAsia="zh-CN"/>
        </w:rPr>
        <w:t xml:space="preserve"> производные</w:t>
      </w:r>
      <w:r w:rsidRPr="007114BE">
        <w:rPr>
          <w:rFonts w:ascii="Times New Roman" w:eastAsia="SimSun" w:hAnsi="Times New Roman"/>
          <w:sz w:val="28"/>
          <w:szCs w:val="28"/>
          <w:lang w:eastAsia="zh-CN"/>
        </w:rPr>
        <w:t xml:space="preserve"> и родственные вещества. Диклофенак. </w:t>
      </w:r>
    </w:p>
    <w:p w14:paraId="60340896" w14:textId="77777777" w:rsidR="00904376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114BE">
        <w:rPr>
          <w:rFonts w:ascii="Times New Roman" w:eastAsia="Times New Roman" w:hAnsi="Times New Roman"/>
          <w:bCs/>
          <w:sz w:val="28"/>
          <w:szCs w:val="28"/>
          <w:lang w:eastAsia="ru-RU"/>
        </w:rPr>
        <w:t>Код АТХ</w:t>
      </w:r>
      <w:r w:rsidRPr="007114BE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7114BE">
        <w:rPr>
          <w:rFonts w:ascii="Times New Roman" w:eastAsia="SimSun" w:hAnsi="Times New Roman"/>
          <w:sz w:val="28"/>
          <w:szCs w:val="28"/>
          <w:lang w:val="en-IN" w:eastAsia="zh-CN"/>
        </w:rPr>
        <w:t>M</w:t>
      </w:r>
      <w:r w:rsidRPr="007114BE">
        <w:rPr>
          <w:rFonts w:ascii="Times New Roman" w:eastAsia="SimSun" w:hAnsi="Times New Roman"/>
          <w:sz w:val="28"/>
          <w:szCs w:val="28"/>
          <w:lang w:eastAsia="zh-CN"/>
        </w:rPr>
        <w:t>01</w:t>
      </w:r>
      <w:r w:rsidRPr="007114BE">
        <w:rPr>
          <w:rFonts w:ascii="Times New Roman" w:eastAsia="SimSun" w:hAnsi="Times New Roman"/>
          <w:sz w:val="28"/>
          <w:szCs w:val="28"/>
          <w:lang w:val="en-IN" w:eastAsia="zh-CN"/>
        </w:rPr>
        <w:t>AB</w:t>
      </w:r>
      <w:r w:rsidRPr="007114BE">
        <w:rPr>
          <w:rFonts w:ascii="Times New Roman" w:eastAsia="SimSun" w:hAnsi="Times New Roman"/>
          <w:sz w:val="28"/>
          <w:szCs w:val="28"/>
          <w:lang w:eastAsia="zh-CN"/>
        </w:rPr>
        <w:t>05</w:t>
      </w:r>
    </w:p>
    <w:p w14:paraId="473A3CB5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37B9E8" w14:textId="77777777" w:rsidR="005444B2" w:rsidRPr="007114BE" w:rsidRDefault="005444B2" w:rsidP="00904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</w:p>
    <w:p w14:paraId="14E3BE12" w14:textId="77777777" w:rsidR="00C37561" w:rsidRPr="007114BE" w:rsidRDefault="00C37561" w:rsidP="00C37561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14BE">
        <w:rPr>
          <w:rFonts w:ascii="Times New Roman" w:hAnsi="Times New Roman"/>
          <w:sz w:val="28"/>
          <w:szCs w:val="28"/>
        </w:rPr>
        <w:t xml:space="preserve">Облегчение боли любой степени и воспаления при заболеваниях широкого диапазона, включая:   </w:t>
      </w:r>
    </w:p>
    <w:p w14:paraId="7FFF6245" w14:textId="77777777" w:rsidR="00C37561" w:rsidRPr="007114BE" w:rsidRDefault="00C37561" w:rsidP="00C37561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14BE">
        <w:rPr>
          <w:rFonts w:ascii="Times New Roman" w:hAnsi="Times New Roman"/>
          <w:sz w:val="28"/>
          <w:szCs w:val="28"/>
        </w:rPr>
        <w:t xml:space="preserve">- </w:t>
      </w:r>
      <w:r w:rsidRPr="007114BE">
        <w:rPr>
          <w:rFonts w:ascii="Times New Roman" w:hAnsi="Times New Roman"/>
          <w:sz w:val="28"/>
          <w:szCs w:val="28"/>
          <w:shd w:val="clear" w:color="auto" w:fill="FFFFFF"/>
        </w:rPr>
        <w:t>ревматоидный артрит,</w:t>
      </w:r>
      <w:r w:rsidRPr="007114BE">
        <w:rPr>
          <w:rFonts w:ascii="Times New Roman" w:hAnsi="Times New Roman"/>
          <w:sz w:val="28"/>
          <w:szCs w:val="28"/>
        </w:rPr>
        <w:t xml:space="preserve"> </w:t>
      </w:r>
      <w:r w:rsidRPr="007114BE">
        <w:rPr>
          <w:rFonts w:ascii="Times New Roman" w:hAnsi="Times New Roman"/>
          <w:sz w:val="28"/>
          <w:szCs w:val="28"/>
          <w:shd w:val="clear" w:color="auto" w:fill="FFFFFF"/>
        </w:rPr>
        <w:t xml:space="preserve">остеоартрит, </w:t>
      </w:r>
      <w:proofErr w:type="spellStart"/>
      <w:r w:rsidRPr="007114BE">
        <w:rPr>
          <w:rFonts w:ascii="Times New Roman" w:hAnsi="Times New Roman"/>
          <w:sz w:val="28"/>
          <w:szCs w:val="28"/>
          <w:shd w:val="clear" w:color="auto" w:fill="FFFFFF"/>
        </w:rPr>
        <w:t>анкилозирующий</w:t>
      </w:r>
      <w:proofErr w:type="spellEnd"/>
      <w:r w:rsidRPr="007114BE">
        <w:rPr>
          <w:rFonts w:ascii="Times New Roman" w:hAnsi="Times New Roman"/>
          <w:sz w:val="28"/>
          <w:szCs w:val="28"/>
          <w:shd w:val="clear" w:color="auto" w:fill="FFFFFF"/>
        </w:rPr>
        <w:t xml:space="preserve"> спондилит </w:t>
      </w:r>
      <w:r w:rsidRPr="007114BE">
        <w:rPr>
          <w:rFonts w:ascii="Times New Roman" w:hAnsi="Times New Roman"/>
          <w:sz w:val="28"/>
          <w:szCs w:val="28"/>
        </w:rPr>
        <w:t>(болезнь Бехтерева),</w:t>
      </w:r>
      <w:r w:rsidRPr="007114BE">
        <w:rPr>
          <w:rFonts w:ascii="Times New Roman" w:hAnsi="Times New Roman"/>
          <w:sz w:val="28"/>
          <w:szCs w:val="28"/>
          <w:shd w:val="clear" w:color="auto" w:fill="FFFFFF"/>
        </w:rPr>
        <w:t xml:space="preserve"> острая подагра</w:t>
      </w:r>
    </w:p>
    <w:p w14:paraId="0369F7F1" w14:textId="77777777" w:rsidR="00C37561" w:rsidRPr="007114BE" w:rsidRDefault="00C37561" w:rsidP="00C37561">
      <w:pPr>
        <w:pStyle w:val="ab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14BE">
        <w:rPr>
          <w:rFonts w:ascii="Times New Roman" w:hAnsi="Times New Roman"/>
          <w:sz w:val="28"/>
          <w:szCs w:val="28"/>
        </w:rPr>
        <w:t xml:space="preserve">- заболевания костно-мышечной системы, такие как </w:t>
      </w:r>
      <w:r w:rsidRPr="007114BE">
        <w:rPr>
          <w:rFonts w:ascii="Times New Roman" w:hAnsi="Times New Roman"/>
          <w:sz w:val="28"/>
          <w:szCs w:val="28"/>
          <w:shd w:val="clear" w:color="auto" w:fill="FFFFFF"/>
        </w:rPr>
        <w:t>периартрит</w:t>
      </w:r>
      <w:r w:rsidRPr="007114BE">
        <w:rPr>
          <w:rFonts w:ascii="Times New Roman" w:hAnsi="Times New Roman"/>
          <w:sz w:val="28"/>
          <w:szCs w:val="28"/>
        </w:rPr>
        <w:t xml:space="preserve"> (например, </w:t>
      </w:r>
      <w:proofErr w:type="spellStart"/>
      <w:r w:rsidRPr="007114BE">
        <w:rPr>
          <w:rFonts w:ascii="Times New Roman" w:hAnsi="Times New Roman"/>
          <w:sz w:val="28"/>
          <w:szCs w:val="28"/>
        </w:rPr>
        <w:t>плечелопаточный</w:t>
      </w:r>
      <w:proofErr w:type="spellEnd"/>
      <w:r w:rsidRPr="007114BE">
        <w:rPr>
          <w:rFonts w:ascii="Times New Roman" w:hAnsi="Times New Roman"/>
          <w:sz w:val="28"/>
          <w:szCs w:val="28"/>
        </w:rPr>
        <w:t xml:space="preserve"> периартрит), </w:t>
      </w:r>
      <w:proofErr w:type="spellStart"/>
      <w:r w:rsidRPr="007114BE">
        <w:rPr>
          <w:rFonts w:ascii="Times New Roman" w:hAnsi="Times New Roman"/>
          <w:sz w:val="28"/>
          <w:szCs w:val="28"/>
        </w:rPr>
        <w:t>тендинит</w:t>
      </w:r>
      <w:proofErr w:type="spellEnd"/>
      <w:r w:rsidRPr="007114B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114BE">
        <w:rPr>
          <w:rFonts w:ascii="Times New Roman" w:hAnsi="Times New Roman"/>
          <w:sz w:val="28"/>
          <w:szCs w:val="28"/>
        </w:rPr>
        <w:t>теносиновит</w:t>
      </w:r>
      <w:proofErr w:type="spellEnd"/>
      <w:r w:rsidRPr="007114BE">
        <w:rPr>
          <w:rFonts w:ascii="Times New Roman" w:hAnsi="Times New Roman"/>
          <w:sz w:val="28"/>
          <w:szCs w:val="28"/>
        </w:rPr>
        <w:t xml:space="preserve">, бурсит </w:t>
      </w:r>
    </w:p>
    <w:p w14:paraId="13598A3B" w14:textId="77777777" w:rsidR="00C37561" w:rsidRPr="007114BE" w:rsidRDefault="00C37561" w:rsidP="00C3756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4B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114BE">
        <w:rPr>
          <w:rFonts w:ascii="Times New Roman" w:hAnsi="Times New Roman"/>
          <w:sz w:val="28"/>
          <w:szCs w:val="28"/>
          <w:lang w:val="uk-UA"/>
        </w:rPr>
        <w:t>другие</w:t>
      </w:r>
      <w:proofErr w:type="spellEnd"/>
      <w:r w:rsidRPr="007114BE">
        <w:rPr>
          <w:rFonts w:ascii="Times New Roman" w:hAnsi="Times New Roman"/>
          <w:sz w:val="28"/>
          <w:szCs w:val="28"/>
          <w:lang w:val="uk-UA"/>
        </w:rPr>
        <w:t xml:space="preserve"> вид</w:t>
      </w:r>
      <w:r w:rsidRPr="007114BE">
        <w:rPr>
          <w:rFonts w:ascii="Times New Roman" w:hAnsi="Times New Roman"/>
          <w:sz w:val="28"/>
          <w:szCs w:val="28"/>
        </w:rPr>
        <w:t>ы болевого синдрома как результат травмы, включая перелом кости, поясничную боль, растяжение связок, вывих, ортопедическую, стоматологическую операции и другое малое хирургическое вмешательство.</w:t>
      </w:r>
    </w:p>
    <w:p w14:paraId="6D18BD51" w14:textId="77777777" w:rsidR="00AE7922" w:rsidRPr="007114BE" w:rsidRDefault="00AE7922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23BBFE" w14:textId="77777777" w:rsidR="00DB406A" w:rsidRPr="007114BE" w:rsidRDefault="00DB406A" w:rsidP="0090437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913664"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1AEFEAF3" w14:textId="77777777" w:rsidR="007D0E84" w:rsidRPr="00667B3B" w:rsidRDefault="007D0E84" w:rsidP="00904376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667B3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Противопоказания</w:t>
      </w:r>
    </w:p>
    <w:p w14:paraId="0115206E" w14:textId="6865367A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 гиперчувствительность к </w:t>
      </w:r>
      <w:r w:rsidR="00275C02">
        <w:rPr>
          <w:rFonts w:ascii="Times New Roman" w:eastAsia="Times New Roman" w:hAnsi="Times New Roman"/>
          <w:sz w:val="28"/>
          <w:szCs w:val="28"/>
          <w:lang w:eastAsia="ru-RU"/>
        </w:rPr>
        <w:t>действующему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веществу или к </w:t>
      </w:r>
      <w:r w:rsidR="00234887">
        <w:rPr>
          <w:rFonts w:ascii="Times New Roman" w:eastAsia="Times New Roman" w:hAnsi="Times New Roman"/>
          <w:sz w:val="28"/>
          <w:szCs w:val="28"/>
          <w:lang w:eastAsia="ru-RU"/>
        </w:rPr>
        <w:t>любому из вспомогательных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веществ </w:t>
      </w:r>
    </w:p>
    <w:p w14:paraId="2289DFA0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установленная застойная сердечная недостаточность (NYHA II-IV), ишемическая болезнь сердца, заболевания периферических артерий или цереброваскулярные заболевания</w:t>
      </w:r>
    </w:p>
    <w:p w14:paraId="1E54B16E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язвы желудка или кишечника в стадии обострения, кровотечение или перфорация</w:t>
      </w:r>
      <w:r w:rsidR="00891677"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перенесенные желудочно-кишечные кровотечения или перфорации, связанные с предыдущим приемом НПВП</w:t>
      </w:r>
    </w:p>
    <w:p w14:paraId="32277FB2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острая или рецидивирующая язвенная болезнь/кровотечение (два или более эпизодов установленной язвы или кровотечения в анамнезе)</w:t>
      </w:r>
    </w:p>
    <w:p w14:paraId="305AB0BC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тяжелая печеночная, почечная или сердечная недостаточность</w:t>
      </w:r>
    </w:p>
    <w:p w14:paraId="223AEF0F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пациентам, у которых приступы бронхиальной астмы, крапивница, ангионевротический отек, острый ринит провоцируются приемом ибупрофена, ацетилсалициловой кислоты или других НПВП</w:t>
      </w:r>
    </w:p>
    <w:p w14:paraId="49F1CA9C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проктит</w:t>
      </w:r>
    </w:p>
    <w:p w14:paraId="5BF68EAF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 III триместр беременности </w:t>
      </w:r>
    </w:p>
    <w:p w14:paraId="1CCCC72A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детский возраст до 1</w:t>
      </w:r>
      <w:r w:rsidRPr="007114BE">
        <w:rPr>
          <w:rFonts w:ascii="Times New Roman" w:eastAsia="Times New Roman" w:hAnsi="Times New Roman"/>
          <w:sz w:val="28"/>
          <w:szCs w:val="28"/>
          <w:lang w:val="kk-KZ" w:eastAsia="ru-RU"/>
        </w:rPr>
        <w:t>5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14:paraId="06E109B3" w14:textId="77777777" w:rsidR="007D0E84" w:rsidRPr="00667B3B" w:rsidRDefault="007D0E84" w:rsidP="004954E1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667B3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Необходимые меры предосторожности при применении</w:t>
      </w:r>
    </w:p>
    <w:p w14:paraId="023DBB53" w14:textId="77777777" w:rsidR="00434153" w:rsidRPr="007114BE" w:rsidRDefault="00434153" w:rsidP="004954E1">
      <w:pPr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7114BE">
        <w:rPr>
          <w:rFonts w:ascii="Times New Roman" w:hAnsi="Times New Roman"/>
          <w:sz w:val="28"/>
          <w:szCs w:val="28"/>
        </w:rPr>
        <w:t xml:space="preserve">Следует соблюдать особую осторожность при применении препарата </w:t>
      </w:r>
      <w:r w:rsidRPr="007114BE">
        <w:rPr>
          <w:rFonts w:ascii="Times New Roman" w:eastAsia="Times New Roman" w:hAnsi="Times New Roman"/>
          <w:iCs/>
          <w:sz w:val="28"/>
          <w:szCs w:val="28"/>
        </w:rPr>
        <w:t>ДИКЛОСЕЙФ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</w:rPr>
        <w:t>®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у пациентов с нарушением функции печени легкой и средней степени, а также у пац</w:t>
      </w:r>
      <w:r w:rsidR="00FB0F1E" w:rsidRPr="007114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иентов с печеночной порфирией, так </w:t>
      </w:r>
      <w:proofErr w:type="gramStart"/>
      <w:r w:rsidR="00FB0F1E" w:rsidRPr="007114BE">
        <w:rPr>
          <w:rFonts w:ascii="Times New Roman" w:eastAsia="Times New Roman" w:hAnsi="Times New Roman"/>
          <w:sz w:val="28"/>
          <w:szCs w:val="28"/>
          <w:shd w:val="clear" w:color="auto" w:fill="FFFFFF"/>
        </w:rPr>
        <w:t>как  препарат</w:t>
      </w:r>
      <w:proofErr w:type="gramEnd"/>
      <w:r w:rsidR="00FB0F1E" w:rsidRPr="007114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может провоцировать приступы порфирии.</w:t>
      </w:r>
    </w:p>
    <w:p w14:paraId="15480179" w14:textId="77777777" w:rsidR="00E55D6C" w:rsidRPr="007114BE" w:rsidRDefault="00FB0F1E" w:rsidP="004954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4BE">
        <w:rPr>
          <w:rFonts w:ascii="Times New Roman" w:hAnsi="Times New Roman"/>
          <w:sz w:val="28"/>
          <w:szCs w:val="28"/>
        </w:rPr>
        <w:t>Следует с осторожностью применять препарат у пациентов с бронхиальной астмой, сезонным аллергическим ринитом, отеком слизистой оболочкой носовой полости, хронической обструктивной болезнью легких, хроническими инфекционными заболеваниями дыхательных путей.</w:t>
      </w:r>
    </w:p>
    <w:p w14:paraId="066D39C8" w14:textId="77777777" w:rsidR="00FB0F1E" w:rsidRPr="007114BE" w:rsidRDefault="00FB0F1E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7114BE">
        <w:rPr>
          <w:rFonts w:ascii="Times New Roman" w:hAnsi="Times New Roman"/>
          <w:sz w:val="28"/>
          <w:szCs w:val="28"/>
        </w:rPr>
        <w:t xml:space="preserve">Следует </w:t>
      </w:r>
      <w:r w:rsidR="00F55DCB" w:rsidRPr="007114BE">
        <w:rPr>
          <w:rFonts w:ascii="Times New Roman" w:hAnsi="Times New Roman"/>
          <w:sz w:val="28"/>
          <w:szCs w:val="28"/>
        </w:rPr>
        <w:t xml:space="preserve">с осторожностью применять препарат </w:t>
      </w:r>
      <w:r w:rsidR="00F55DCB" w:rsidRPr="007114BE">
        <w:rPr>
          <w:rFonts w:ascii="Times New Roman" w:eastAsia="Times New Roman" w:hAnsi="Times New Roman"/>
          <w:iCs/>
          <w:sz w:val="28"/>
          <w:szCs w:val="28"/>
        </w:rPr>
        <w:t>ДИКЛОСЕЙФ</w:t>
      </w:r>
      <w:r w:rsidR="00F55DCB" w:rsidRPr="007114BE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</w:rPr>
        <w:t>®</w:t>
      </w:r>
      <w:r w:rsidR="00F55DCB" w:rsidRPr="007114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у пациентов с дефектами системы гемостаза.</w:t>
      </w:r>
    </w:p>
    <w:p w14:paraId="274E6854" w14:textId="77777777" w:rsidR="00F55DCB" w:rsidRPr="007114BE" w:rsidRDefault="00CB3E55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Следует соблюдать осторожность при применении препарат </w:t>
      </w:r>
      <w:r w:rsidRPr="007114BE">
        <w:rPr>
          <w:rFonts w:ascii="Times New Roman" w:eastAsia="Times New Roman" w:hAnsi="Times New Roman"/>
          <w:iCs/>
          <w:sz w:val="28"/>
          <w:szCs w:val="28"/>
        </w:rPr>
        <w:t>ДИКЛОСЕЙФ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</w:rPr>
        <w:t>®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у пациентов пожилого возраста. Это особенно актуально для ослабленных или имеющих низкую массу тела пожилых людей – у пациентов данной категории рекомендуется применять препарат в минимальной эффективной дозе. </w:t>
      </w:r>
    </w:p>
    <w:p w14:paraId="06051A9D" w14:textId="77777777" w:rsidR="007D0E84" w:rsidRPr="00667B3B" w:rsidRDefault="007D0E84" w:rsidP="004954E1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667B3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0CDAA014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Следующие лекарственные взаимодействия наблюдались при приеме таблеток, покрытых кишечнорастворимой оболочкой, и/или других лекарственных форм диклофенака.</w:t>
      </w:r>
    </w:p>
    <w:p w14:paraId="3A3BC4BB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Литий</w:t>
      </w:r>
    </w:p>
    <w:p w14:paraId="21F70CE2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Cs/>
          <w:sz w:val="28"/>
          <w:szCs w:val="28"/>
          <w:lang w:eastAsia="ru-RU"/>
        </w:rPr>
        <w:t>При одновременном применении ДИКЛОСЕЙФ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</w:rPr>
        <w:t>®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повышать концентрации лития в плазме крови. Рекомендуется мониторинг концентрации лития в сыворотке крови. </w:t>
      </w:r>
    </w:p>
    <w:p w14:paraId="1DB5F080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Дигоксин</w:t>
      </w:r>
    </w:p>
    <w:p w14:paraId="67D83364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Cs/>
          <w:sz w:val="28"/>
          <w:szCs w:val="28"/>
          <w:lang w:eastAsia="ru-RU"/>
        </w:rPr>
        <w:t>При одновременном применении ДИКЛОСЕЙФ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</w:rPr>
        <w:t>®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повышать концентрации дигоксина в плазме крови. Рекомендуется мониторинг концентрации дигоксина в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сывортке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крови.</w:t>
      </w:r>
    </w:p>
    <w:p w14:paraId="6C387BCF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Диуретические и гипотензивные средства </w:t>
      </w:r>
    </w:p>
    <w:p w14:paraId="4DF2B766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Как и с другими НПВП п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ри одновременном применении с диуретиками и гипотензивными препаратами (например, бета-адреноблокаторами, ингибиторами ангиотензин-превращающего фермента (АПФ)), диклофенак может снижать их гипотензивное действие за счет угнетения синтеза сосудорасширяющих простагландинов. </w:t>
      </w:r>
    </w:p>
    <w:p w14:paraId="73729FFD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у пациентов, особенно пожилого возраста, при одновременном назначении следует регулярно измерять АД. Пациенты должны получать достаточное количество воды, а также следует регулярно контролировать функцию почек после начала одновременной терапии, особенно при комбинации с диуретиками и ингибиторами АПФ вследствие повышения риска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нефротоксичности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F70A83F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Препараты, способные вызывать </w:t>
      </w:r>
      <w:proofErr w:type="spellStart"/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гиперкалиемию</w:t>
      </w:r>
      <w:proofErr w:type="spellEnd"/>
    </w:p>
    <w:p w14:paraId="6FF32BC3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Совместное применение диклофенака с </w:t>
      </w:r>
      <w:proofErr w:type="gram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калий-сберегающими</w:t>
      </w:r>
      <w:proofErr w:type="gram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диуретиками, циклоспорином,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такролимусом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триметопримом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привести к повышению уровня калия в плазме крови, в следствии чего данный показатель должен часто контролироваться.</w:t>
      </w: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5EE2BE7D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Антикоагулянты и </w:t>
      </w:r>
      <w:proofErr w:type="spellStart"/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антиаггреганты</w:t>
      </w:r>
      <w:proofErr w:type="spellEnd"/>
    </w:p>
    <w:p w14:paraId="3BB2BBEB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с осторожностью комбинировать диклофенак с препаратами этих групп из-за риска развития кровотечений. Несмотря на то, что в клинических исследованиях не было установлено влияния диклофенака на действие антикоагулянтов, существуют отдельные сообщения о повышении риска кровотечений у пациентов, принимавших данную комбинацию препаратов. Поэтому, чтобы убедиться в отсутствии необходимости корректировать дозировку антикоагулянтов, рекомендуется тщательное наблюдение за больными. Как и в случае с другими нестероидными противовоспалительными препаратами  диклофенак в высокой дозе может вызвать обратимое угнетение агрегации тромбоцитов. </w:t>
      </w:r>
    </w:p>
    <w:p w14:paraId="52DFFF89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Другие НПВС, включая селективные ингибиторы циклооксигеназы-2, и кортикостероиды</w:t>
      </w:r>
    </w:p>
    <w:p w14:paraId="765B0A73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Сопутствующее введение диклофенака и других системных НПВС или кортикостероидов может повысить риск желудочно-кишечного кровотечения или язвы. Следует избегать одновременного применения двух или более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ab/>
        <w:t>НПВС.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Селективные ингибиторы обратного захвата серотонина (СИОЗС)</w:t>
      </w:r>
    </w:p>
    <w:p w14:paraId="1DACDC42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Сопутствующее введение СИОЗС может повысить риск кровотечения в пищеварительном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ab/>
        <w:t>тракте.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Антидиабетические препараты</w:t>
      </w:r>
    </w:p>
    <w:p w14:paraId="0B8A9AD5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Клинические исследования показали, что диклофенак можно применять вместе с пероральными антидиабетическими средствами без влияния на их клиническое действие. Однако известны отдельные случаи как гипогликемического, так и гипергликемического влияния, требующие изменения дозировки антидиабетических средств во время лечения диклофенаком. При таких состояниях необходим мониторинг уровня 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глюкозы в крови, являющийся мерой предосторожности во время сопутствующей терапии.</w:t>
      </w:r>
    </w:p>
    <w:p w14:paraId="5F62A276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Метотрексат</w:t>
      </w:r>
    </w:p>
    <w:p w14:paraId="65FF74D6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Диклофенак может подавлять клиренс метотрексата в почечных канальцах, что приводит к повышению уровня метотрексата. При введении НПВС, включая диклофенак, менее чем за 24 часа до лечения метотрексатом рекомендуется быть осторожными, поскольку может расти концентрация метотрексата в крови и увеличиваться токсичность этого вещества. Были зарегистрированы случаи серьезной токсичности, когда метотрексат и НПВС, включая диклофенак, применяли с интервалом в пределах 24 часов. Это взаимодействие опосредовано через накопление метотрексата в результате нарушения почечной экскреции в присутствии НПВС.</w:t>
      </w:r>
    </w:p>
    <w:p w14:paraId="14322C22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Циклоспорин</w:t>
      </w:r>
    </w:p>
    <w:p w14:paraId="63D3C787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Диклофенак, как и другие НПВС, может увеличивать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нефротоксичность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циклоспорина из-за влияния на простагландины почек. В связи с этим его следует применять в более низких дозах, чем для больных, не получающих циклоспорин.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Такролимус</w:t>
      </w:r>
      <w:proofErr w:type="spellEnd"/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</w:p>
    <w:p w14:paraId="4E9A6234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применении НПВС с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такролимусом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 повышение риска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нефротоксичности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может быть опосредовано через почечные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антипростагландиновые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эффекты НПВС и ингибитора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кальциневрина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3B64EC4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Антибактериальные </w:t>
      </w:r>
      <w:proofErr w:type="spellStart"/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хинолоны</w:t>
      </w:r>
      <w:proofErr w:type="spellEnd"/>
    </w:p>
    <w:p w14:paraId="53F881EE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Возможны судороги как результат совместного применения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хинолонов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и НПВС. Это может наблюдаться у пациентов как с наличием, так и с отсутствием в анамнезе эпилепсии или судорог. Таким образом, следует проявлять осторожность при рассмотрении вопроса о применении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хинолонов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пациентам, которые уже получают НПВС.</w:t>
      </w:r>
    </w:p>
    <w:p w14:paraId="7F9D614C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Фенитоин</w:t>
      </w:r>
    </w:p>
    <w:p w14:paraId="53AA98A5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При применении фенитоина одновременно с диклофенаком рекомендуется проводить мониторинг концентрации фенитоина в плазме крови в связи с ожидаемым увеличением экспозиции фенитоина.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spellStart"/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Колестипол</w:t>
      </w:r>
      <w:proofErr w:type="spellEnd"/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и </w:t>
      </w:r>
      <w:proofErr w:type="spellStart"/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холестирамин</w:t>
      </w:r>
      <w:proofErr w:type="spellEnd"/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 </w:t>
      </w:r>
    </w:p>
    <w:p w14:paraId="52AECB7B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Эти препараты могут вызвать задержку или уменьшение всасывания диклофенака. Таким образом, рекомендуется назначать диклофенак, по крайней мере, за 1 час или через 4-6 часов после применения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колестипола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холестирамина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Сердечные гликозиды</w:t>
      </w:r>
    </w:p>
    <w:p w14:paraId="16C109D9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Одновременное применение сердечных гликозидов и НПВС может усилить сердечную недостаточность, снизить скорость клубочковой фильтрации и повысить уровень гликозидов в плазме крови.</w:t>
      </w:r>
    </w:p>
    <w:p w14:paraId="06A38D59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spellStart"/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Мифепристон</w:t>
      </w:r>
      <w:proofErr w:type="spellEnd"/>
    </w:p>
    <w:p w14:paraId="4B7235B2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НПВС не следует применять в течение 8-12 дней после применения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мифепристона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, поскольку НПВС могут уменьшить его эффект.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Мощные ингибиторы CYP2C9</w:t>
      </w:r>
    </w:p>
    <w:p w14:paraId="7782C780" w14:textId="77777777" w:rsidR="007114BE" w:rsidRPr="007114BE" w:rsidRDefault="007114BE" w:rsidP="007114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Осторожность рекомендуется при совместном назначении диклофенака с мощными ингибиторами CYP2C9 (например, с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вориконазолом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), что может привести к значительному увеличению максимальной концентрации в плазме крови и экспозиции диклофенака вследствие угнетения его метаболизма.</w:t>
      </w: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F2C7188" w14:textId="77777777" w:rsidR="00D43297" w:rsidRPr="00667B3B" w:rsidRDefault="00D43297" w:rsidP="004954E1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667B3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Специальные предупреждения</w:t>
      </w:r>
    </w:p>
    <w:p w14:paraId="170C6E50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Нежелательные эффекты можно минимизировать путем применения минимальной эффективной дозы в течение наименьшего возможного срока, необходимого для контроля симптомов. </w:t>
      </w:r>
    </w:p>
    <w:p w14:paraId="52F0A8EF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Следует избегать применения препарата с системными НПВС, включая селективные ингибиторы циклооксигеназы-2, из-за отсутствия какой-либо синергической пользы и возможности развития дополнительных побочных эффектов.</w:t>
      </w:r>
    </w:p>
    <w:p w14:paraId="758DC9AA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Следует быть осторожным при назначении препарата пациентам пожилого возраста в связи с основными медицинскими показаниями. В частности, для пациентов пожилого возраста со слабым здоровьем и для больных с низким показателем массы тела рекомендуется применять самые низкие эффективные дозы.</w:t>
      </w:r>
    </w:p>
    <w:p w14:paraId="5B7E6DBA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Как и при применении других НПВС, без предварительной экспозиции диклофенака могут также возникнуть аллергические реакции, в том числе анафилактические/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анафилактоидные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4452DD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Как и другие НПВС, диклофенак благодаря своим фармакодинамическим свойствам может маскировать признаки и симптомы инфекции.</w:t>
      </w:r>
    </w:p>
    <w:p w14:paraId="042B970B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Влияние на пищеварительную систему:</w:t>
      </w:r>
    </w:p>
    <w:p w14:paraId="174E41A9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Несостоятельность желудочно-кишечного анастомоза</w:t>
      </w:r>
    </w:p>
    <w:p w14:paraId="3039C0DE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Применение НПВС, включая диклофенак, может быть связано с повышенным риском развития несостоятельности желудочно-кишечного анастомоза при применении диклофенака после желудочно-кишечной операции, в связи с чем рекомендуется тщательное медицинское наблюдение и настороженность в послеоперационном периоде.</w:t>
      </w:r>
    </w:p>
    <w:p w14:paraId="32A8E1A3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Реакции гиперчувствительности могут приводить к развитию синдрома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Коуниса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, серьезной аллергической реакции, которая может привести к инфаркту миокарда. Симптомы таких реакций могут включать боль в груди, возникающую в связи с аллергической реакцией на диклофенак.</w:t>
      </w:r>
    </w:p>
    <w:p w14:paraId="13E4EDA7" w14:textId="77777777" w:rsidR="00C37561" w:rsidRPr="007114BE" w:rsidRDefault="00C37561" w:rsidP="00C37561">
      <w:pPr>
        <w:spacing w:after="15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При применении всех НПВС, включая диклофенак, были зарегистрированы случаи желудочно-кишечных кровотечений (рвота кровью, мелена), образования язвы или перфорации, которые могут быть летальными и наблюдаться в любое время в процессе лечения, как с предупреждающими симптомами, так и без них, а также при наличии в анамнезе серьезных явлений со стороны желудочно-кишечного тракта. Эти явления обычно имеют более серьезные последствия у пациентов пожилого возраста. Если у пациентов, получающих диклофенак, наблюдаются желудочно-кишечные кровотечения или образование язвы, применение препарата необходимо прекратить.</w:t>
      </w:r>
    </w:p>
    <w:p w14:paraId="507DE56D" w14:textId="77777777" w:rsidR="00C37561" w:rsidRPr="007114BE" w:rsidRDefault="00C37561" w:rsidP="00C375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Как и при применении всех НПВС, включая диклофенак, необходимым является тщательное медицинское наблюдение: особую осторожность следует проявлять при назначении диклофенака пациентам с симптомами, свидетельствующими о нарушениях со стороны желудочно-кишечного тракта, или с наличием язвы желудка или кишечника, кровотечения или перфорации в анамнезе. Риск желудочно-кишечных кровотечений, образования язв или перфораций выше при увеличении дозы НПВС, включая диклофенак, а также у пациентов с наличием в анамнезе язвы, особенно с осложнениями в виде кровотечения или перфорации.</w:t>
      </w:r>
    </w:p>
    <w:p w14:paraId="08D76490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Пациенты пожилого возраста имеют повышенную частоту нежелательных реакций в случае применении НПВС, особенно таких, как желудочно-кишечные кровотечения и перфорации, которые могут быть летальными.</w:t>
      </w:r>
    </w:p>
    <w:p w14:paraId="4A39933F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Чтобы снизить риск токсического воздействия на пищеварительную систему у пациентов с язвой в анамнезе, особенно с осложнениями в виде кровотечения или перфорации, и у пациентов пожилого возраста, лечение начинают и поддерживают самыми низкими эффективными дозами.</w:t>
      </w:r>
    </w:p>
    <w:p w14:paraId="1DD2B4CD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таких пациентов, а также больных, нуждающихся в сопутствующем применении лекарственных средств, содержащих низкие дозы ацетилсалициловой кислоты (АСК/аспирин) или других лекарственных средств, которые, вероятно, повышают риск нежелательного действия на пищеварительную систему, следует рассмотреть вопрос о комбинированной терапии с применением защитных лекарственных средств (например,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мизопростола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ингибиторов протонного насоса).</w:t>
      </w:r>
    </w:p>
    <w:p w14:paraId="376ED8F1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Пациенты с желудочно-кишечной токсичностью в анамнезе, особенно пожилого возраста, должны сообщать о любых необычных абдоминальных симптомах (особенно о кровотечении в пищеварительном тракте). </w:t>
      </w:r>
    </w:p>
    <w:p w14:paraId="32855F6E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Предостережения также нужны для больных, получающих сопутствующие препараты, которые могут повысить риск развития язвы или кровотечения, такие как системные кортикостероиды, антикоагулянты (например, варфарин), селективные ингибиторы обратного захвата серотонина или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антитромботические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 (например, ацетилсалициловая кислота).</w:t>
      </w:r>
    </w:p>
    <w:p w14:paraId="41AADC8C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Необходима осторожность и тщательный медицинский контроль за пациентами с язвенным колитом или болезнью Крона, поскольку эти заболевания могут обостриться.</w:t>
      </w:r>
    </w:p>
    <w:p w14:paraId="52DBBBAD" w14:textId="77777777" w:rsidR="002A51ED" w:rsidRPr="007114BE" w:rsidRDefault="002A51ED" w:rsidP="002A51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7114BE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>Влияние на</w:t>
      </w:r>
      <w:r w:rsidRPr="007114BE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tab/>
        <w:t>печень:</w:t>
      </w:r>
      <w:r w:rsidRPr="007114BE">
        <w:rPr>
          <w:rFonts w:ascii="Times New Roman" w:eastAsia="Times New Roman" w:hAnsi="Times New Roman"/>
          <w:i/>
          <w:sz w:val="28"/>
          <w:szCs w:val="28"/>
          <w:shd w:val="clear" w:color="auto" w:fill="FFFFFF"/>
        </w:rPr>
        <w:br/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При назначении препарата ДИКЛОСЕЙФ</w:t>
      </w:r>
      <w:r w:rsidR="007114BE" w:rsidRPr="007114BE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</w:rPr>
        <w:t>®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</w:rPr>
        <w:t xml:space="preserve"> 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пациентам с нарушенной функцией печени необходимо проводить тщательный мониторинг, поскольку состояние таких пациентов может ухудшиться. </w:t>
      </w:r>
    </w:p>
    <w:p w14:paraId="52BBCD5D" w14:textId="77777777" w:rsidR="002A51ED" w:rsidRPr="002A51ED" w:rsidRDefault="002A51ED" w:rsidP="002A51E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</w:pPr>
      <w:r w:rsidRPr="002A51E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Как и при применении других НПВС, включая диклофенак, уровень одного и более печеночных энзимов может повышаться. Во время долгосрочного лечения препаратом диклофенак в качестве меры предосторожности назначают регулярный контроль за функцией печени. </w:t>
      </w:r>
      <w:r w:rsidRPr="002A51E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При сохранении и прогрессировании нарушений печеночной функции или возникновении признаков заболеваний печени или других симптомов </w:t>
      </w:r>
      <w:r w:rsidRPr="002A51E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lastRenderedPageBreak/>
        <w:t xml:space="preserve">(например, </w:t>
      </w:r>
      <w:proofErr w:type="spellStart"/>
      <w:r w:rsidRPr="002A51E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эозинофилии</w:t>
      </w:r>
      <w:proofErr w:type="spellEnd"/>
      <w:r w:rsidRPr="002A51ED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, сыпи и пр.) прием препарата необходимо отменить. Следует иметь в виду, что гепатит на фоне применения диклофенака может развиваться без продромальных явлений.</w:t>
      </w:r>
    </w:p>
    <w:p w14:paraId="09C249BF" w14:textId="77777777" w:rsidR="002A51ED" w:rsidRPr="002A51ED" w:rsidRDefault="002A51ED" w:rsidP="002A51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2A51ED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Предостережения необходимы в случае, если диклофенак применяют пациентам с печеночной порфирией, из-за вероятности провокации приступа.</w:t>
      </w:r>
    </w:p>
    <w:p w14:paraId="7D93D982" w14:textId="77777777" w:rsidR="00C37561" w:rsidRPr="007114BE" w:rsidRDefault="00C37561" w:rsidP="002A51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Влияние на</w:t>
      </w: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почки:</w:t>
      </w: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Поскольку при лечении НПВС, включая диклофенак, сообщалось о задержке жидкости и отеке, особое внимание следует уделить больным с нарушением функции сердца или почек, артериальной гипертензией в анамнезе, больным пожилого возраста, больным, получающим сопутствующую терапию диуретиками или препаратами, которые существенно влияют на функцию почек, и пациентам с существенным снижением внеклеточного объема жидкости по любой причине, например, до или после серьезного хирургического вмешательства. В таких случаях в качестве меры предосторожности рекомендуется мониторинг функции почек. Прекращение терапии обычно обуславливает возвращение к состоянию, которое предшествовало лечению.</w:t>
      </w:r>
    </w:p>
    <w:p w14:paraId="2C0C481D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Воздействие на</w:t>
      </w: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ab/>
        <w:t>кожу:</w:t>
      </w: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применением НПВС, в том числе диклофенака, очень редко были зарегистрированы серьезные реакции со стороны кожи (некоторые из них были летальными), включая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эксфолиативный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дерматит, синдром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Стивенса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-Джонсона и токсический эпидермальный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некролиз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. Очевидно, самый высокий риск развития этих реакций наблюдается в начале курса терапии, в большинстве случаев – в течение первого месяца лечения. Применение препарата ДИКЛОСЕЙФ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  <w:lang w:eastAsia="ru-RU"/>
        </w:rPr>
        <w:t>®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прекратить при первом появлении кожных высыпаний, поражений слизистой оболочки или любых других признаков повышенной чувствительности.</w:t>
      </w:r>
    </w:p>
    <w:p w14:paraId="6E374BFC" w14:textId="77777777" w:rsidR="00C37561" w:rsidRPr="007114BE" w:rsidRDefault="00C37561" w:rsidP="00891677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Системная красная волчанка (СКВ) и смешанные заболевания соединительной ткани:</w:t>
      </w:r>
    </w:p>
    <w:p w14:paraId="5A6AFF60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У пациентов с СКВ и смешанными заболеваниями соединительной ткани может наблюдаться повышенный риск развития асептического менингита.</w:t>
      </w:r>
    </w:p>
    <w:p w14:paraId="55D3F764" w14:textId="77777777" w:rsidR="00C37561" w:rsidRPr="007114BE" w:rsidRDefault="00C37561" w:rsidP="00C37561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Сердечнососудистые и цереброваскулярные эффекты:</w:t>
      </w:r>
    </w:p>
    <w:p w14:paraId="3FC69849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Назначать диклофенак пациентам со значительными факторами риска кардиоваскулярных явлений (например, артериальная гипертензия, гиперлипидемия, сахарный диабет, курение) можно только после тщательной оценки. Поскольку кардиоваскулярные риски диклофенака могут возрастать с увеличением дозы и продолжительности лечения, его необходимо применять как можно более короткий период и в самой низкой эффективной дозе. Следует периодически пересматривать потребности пациента в применении диклофенака для облегчения симптомов и ответ на терапию. </w:t>
      </w:r>
    </w:p>
    <w:p w14:paraId="40CD0402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пациентов с наличием в анамнезе артериальной гипертензии и/или застойной сердечной недостаточности легкой или умеренной степени тяжести необходимым является проведение соответствующего 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мониторинга и предоставления рекомендаций, поскольку в связи с применением НПВС, включая диклофенак, были зарегистрированы случаи задержки жидкости и отеков.</w:t>
      </w:r>
    </w:p>
    <w:p w14:paraId="141F9240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Данные клинических исследований и эпидемиологические данные свидетельствуют, что применение диклофенака, особенно в высоких дозах (150 мг/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сут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) и в течение длительного времени, может быть связано с незначительным увеличением риска развития артериальных тромботических событий (например, инфаркта миокарда или инсульта).</w:t>
      </w:r>
    </w:p>
    <w:p w14:paraId="1A3A6CB5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Пациентам с неконтролируемой артериальной гипертензией, застойной сердечной недостаточностью, устойчивой ишемической болезнью сердца, заболеваниями периферических артерий и/или цереброваскулярной болезнью назначать диклофенак рекомендуется только после тщательной оценки. </w:t>
      </w:r>
    </w:p>
    <w:p w14:paraId="4E690BDB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Влияние на гематологические показатели:</w:t>
      </w:r>
    </w:p>
    <w:p w14:paraId="2EF8C1ED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При длительном применении препарата, как и других НПВС, рекомендуется мониторинг анализа крови. Диклофенак может временно угнетать агрегацию тромбоцитов. Следует тщательно наблюдать за больными с нарушениями гемостаза, геморрагическим диатезом или гематологическими нарушениями.</w:t>
      </w:r>
    </w:p>
    <w:p w14:paraId="1834741F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Астма в анамнезе:</w:t>
      </w:r>
    </w:p>
    <w:p w14:paraId="2F5786A1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У больных с бронхиальной астмой, сезонным аллергическим ринитом, пациентов с отеком слизистой оболочки носа (назальные полипы), хроническими обструктивными заболеваниями легких или хроническими инфекциями дыхательных путей (особенно связанными с аллергическими, подобными ринитам симптомами) чаще, чем у других, возникают реакции на НПВС, похожие на обострение астмы (так называемая непереносимость аналгетиков/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аналгетическая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астма), отек Квинке или крапивница. В связи с этим таким больным рекомендованы специальные предупредительные меры (готовность к оказанию неотложной помощи). Это также касается больных с аллергией на другие вещества, проявляющейся кожными реакциями, зудом или крапивницей.</w:t>
      </w:r>
    </w:p>
    <w:p w14:paraId="4BD49F43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и другие препараты, подавляющие активность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простагландинсинтетазы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, диклофенак натрия и другие НПВС могут спровоцировать развитие бронхоспазма у пациентов, страдающих бронхиальной астмой, или у пациентов с бронхиальной астмой в анамнезе.</w:t>
      </w:r>
    </w:p>
    <w:p w14:paraId="36EE9FD6" w14:textId="77777777" w:rsidR="00075304" w:rsidRPr="007114BE" w:rsidRDefault="00075304" w:rsidP="00075304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7114BE">
        <w:rPr>
          <w:rFonts w:ascii="Times New Roman" w:hAnsi="Times New Roman"/>
          <w:i/>
          <w:color w:val="000000"/>
          <w:sz w:val="28"/>
          <w:szCs w:val="28"/>
        </w:rPr>
        <w:t>Во время беременности или лактации</w:t>
      </w:r>
    </w:p>
    <w:p w14:paraId="7B76AE0E" w14:textId="77777777" w:rsidR="00C37561" w:rsidRPr="007114BE" w:rsidRDefault="00C37561" w:rsidP="00C37561">
      <w:pPr>
        <w:tabs>
          <w:tab w:val="left" w:pos="17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Беременность</w:t>
      </w:r>
    </w:p>
    <w:p w14:paraId="13003CB6" w14:textId="77777777" w:rsidR="00C37561" w:rsidRPr="007114BE" w:rsidRDefault="00C37561" w:rsidP="00C37561">
      <w:pPr>
        <w:tabs>
          <w:tab w:val="left" w:pos="90"/>
        </w:tabs>
        <w:spacing w:after="120" w:line="240" w:lineRule="auto"/>
        <w:ind w:right="-3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Ингибирование синтеза простагландинов может отрицательно повлиять на течение беременности и внутриутробное развитие плода.</w:t>
      </w:r>
      <w:r w:rsidRPr="007114BE">
        <w:rPr>
          <w:rFonts w:ascii="Times New Roman" w:eastAsia="Times New Roman" w:hAnsi="Times New Roman"/>
          <w:color w:val="00B0F0"/>
          <w:sz w:val="28"/>
          <w:szCs w:val="28"/>
          <w:lang w:eastAsia="ru-RU"/>
        </w:rPr>
        <w:t xml:space="preserve"> </w:t>
      </w:r>
    </w:p>
    <w:p w14:paraId="0B25BBB5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Если ДИКЛОСЕЙФ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  <w:lang w:eastAsia="ru-RU"/>
        </w:rPr>
        <w:t>®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применяет женщина, планирующая беременность, или в І триместр беременности, доза препарата должна быть как можно ниже, а продолжительность лечения — как можно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ab/>
        <w:t>короче.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br/>
        <w:t>В ІІІ триместр беременности все ингибиторы синтеза простагландинов могут влиять на плод следующим образом:</w:t>
      </w:r>
    </w:p>
    <w:p w14:paraId="419EBAF6" w14:textId="77777777" w:rsidR="00C37561" w:rsidRPr="007114BE" w:rsidRDefault="00C37561" w:rsidP="00C3756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сердечно-легочная токсичность (с преждевременным закрытием артериального протока и легочной гипертензией);</w:t>
      </w:r>
    </w:p>
    <w:p w14:paraId="01774FA7" w14:textId="77777777" w:rsidR="00C37561" w:rsidRPr="007114BE" w:rsidRDefault="00C37561" w:rsidP="00C3756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нарушение функции почек, которое может прогрессировать до почечной недостаточности с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олигогидрамнионом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9377CCD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Влияние на мать и новорожденного, а также в конце беременности:</w:t>
      </w:r>
    </w:p>
    <w:p w14:paraId="40BBBB16" w14:textId="77777777" w:rsidR="00C37561" w:rsidRPr="007114BE" w:rsidRDefault="00C37561" w:rsidP="00C3756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возможны удлинение времени кровотечения,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антиагрегантный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эффект, который может наблюдаться даже при очень низких дозах;</w:t>
      </w:r>
    </w:p>
    <w:p w14:paraId="7D050E89" w14:textId="77777777" w:rsidR="00C37561" w:rsidRPr="007114BE" w:rsidRDefault="00C37561" w:rsidP="00C37561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торможение сокращений матки, что приводит к задержке или увеличению периода родов. </w:t>
      </w:r>
    </w:p>
    <w:p w14:paraId="460B8BEA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ДИКЛОСЕЙФ</w:t>
      </w:r>
      <w:r w:rsidRPr="007114BE">
        <w:rPr>
          <w:rFonts w:ascii="Times New Roman" w:eastAsia="Times New Roman" w:hAnsi="Times New Roman"/>
          <w:sz w:val="28"/>
          <w:szCs w:val="28"/>
          <w:shd w:val="clear" w:color="auto" w:fill="FFFFFF"/>
          <w:vertAlign w:val="superscript"/>
          <w:lang w:eastAsia="ru-RU"/>
        </w:rPr>
        <w:t>®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противопоказан в ІІІ триместре беременности.</w:t>
      </w:r>
    </w:p>
    <w:p w14:paraId="44036A72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Кормление грудью </w:t>
      </w:r>
    </w:p>
    <w:p w14:paraId="52177A78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Как и другие НПВП диклофенак в незначительном количестве проникает в грудное молоко. В связи с этим диклофенак не следует применять женщинам в период кормления грудью, чтобы избежать нежелательного воздействия на младенца.</w:t>
      </w:r>
    </w:p>
    <w:p w14:paraId="69C22C60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Фертильность у женщин </w:t>
      </w:r>
    </w:p>
    <w:p w14:paraId="592D5676" w14:textId="77777777" w:rsidR="00C37561" w:rsidRPr="007114BE" w:rsidRDefault="00C37561" w:rsidP="00C37561">
      <w:pPr>
        <w:tabs>
          <w:tab w:val="left" w:pos="90"/>
        </w:tabs>
        <w:spacing w:after="120" w:line="240" w:lineRule="auto"/>
        <w:ind w:right="-31"/>
        <w:contextualSpacing/>
        <w:jc w:val="both"/>
        <w:rPr>
          <w:rFonts w:ascii="Times New Roman" w:eastAsia="Times New Roman" w:hAnsi="Times New Roman"/>
          <w:sz w:val="28"/>
          <w:szCs w:val="28"/>
          <w:lang w:eastAsia="ko-KR"/>
        </w:rPr>
      </w:pPr>
      <w:r w:rsidRPr="007114BE">
        <w:rPr>
          <w:rFonts w:ascii="Times New Roman" w:eastAsia="Times New Roman" w:hAnsi="Times New Roman"/>
          <w:sz w:val="28"/>
          <w:szCs w:val="28"/>
          <w:lang w:eastAsia="ko-KR"/>
        </w:rPr>
        <w:t>Как и другие НПВП, Диклофенак может отрицательно влиять на женскую фертильность, поэтому не рекомендуется назначать препарат женщинам, планирующим беременность. Для женщин, которые имеют проблемы с зачатием или проходят обследование по поводу бесплодия, следует рассмотреть целесообразность отмены препарата Диклофенак.</w:t>
      </w:r>
    </w:p>
    <w:p w14:paraId="3B5AC2D0" w14:textId="77777777" w:rsidR="001A5656" w:rsidRPr="007114BE" w:rsidRDefault="001A5656" w:rsidP="004954E1">
      <w:pPr>
        <w:spacing w:before="120" w:after="12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bookmarkStart w:id="1" w:name="_Hlk14444277"/>
      <w:r w:rsidRPr="007114BE">
        <w:rPr>
          <w:rFonts w:ascii="Times New Roman" w:hAnsi="Times New Roman"/>
          <w:i/>
          <w:iCs/>
          <w:color w:val="000000"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bookmarkEnd w:id="1"/>
    <w:p w14:paraId="23F06627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Пациентам, у которых во время терапии НПВП возникают нарушения зрения, головокружение,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вертиго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, сонливость, нарушения со стороны ЦНС, вялость или утомляемость, не следует управлять транспортными средствами или работать с другими механизмами.</w:t>
      </w:r>
    </w:p>
    <w:p w14:paraId="588BAFAC" w14:textId="77777777" w:rsidR="001A5656" w:rsidRPr="007114BE" w:rsidRDefault="001A5656" w:rsidP="004954E1">
      <w:p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1DF3A98" w14:textId="77777777" w:rsidR="00DB406A" w:rsidRPr="007114BE" w:rsidRDefault="00DB406A" w:rsidP="004954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6BD79C47" w14:textId="77777777" w:rsidR="009A6638" w:rsidRPr="00667B3B" w:rsidRDefault="009A6638" w:rsidP="009A6638">
      <w:pPr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bookmarkStart w:id="2" w:name="_Hlk14351874"/>
      <w:r w:rsidRPr="00667B3B">
        <w:rPr>
          <w:rFonts w:ascii="Times New Roman" w:hAnsi="Times New Roman"/>
          <w:b/>
          <w:i/>
          <w:iCs/>
          <w:color w:val="000000"/>
          <w:sz w:val="28"/>
          <w:szCs w:val="28"/>
        </w:rPr>
        <w:t>Режим дозирования</w:t>
      </w:r>
    </w:p>
    <w:p w14:paraId="49933F70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3" w:name="_Hlk14351972"/>
      <w:bookmarkEnd w:id="2"/>
      <w:r w:rsidRPr="007114BE">
        <w:rPr>
          <w:rFonts w:ascii="Times New Roman" w:eastAsia="Times New Roman" w:hAnsi="Times New Roman"/>
          <w:sz w:val="28"/>
          <w:szCs w:val="28"/>
        </w:rPr>
        <w:t xml:space="preserve">Нежелательные эффекты могут быть сведены к минимуму, принимая минимально эффективную дозу в течение короткого времени, необходимого для контроля симптомов. </w:t>
      </w:r>
    </w:p>
    <w:p w14:paraId="30F58EF8" w14:textId="77777777" w:rsidR="00C37561" w:rsidRPr="007114BE" w:rsidRDefault="00C37561" w:rsidP="00C37561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7114BE">
        <w:rPr>
          <w:i/>
          <w:sz w:val="28"/>
          <w:szCs w:val="28"/>
        </w:rPr>
        <w:t>Взрослые</w:t>
      </w:r>
    </w:p>
    <w:p w14:paraId="577A8D6B" w14:textId="77777777" w:rsidR="00C37561" w:rsidRPr="007114BE" w:rsidRDefault="00C37561" w:rsidP="00C375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14BE">
        <w:rPr>
          <w:sz w:val="28"/>
          <w:szCs w:val="28"/>
        </w:rPr>
        <w:t>Суточная доза 100 мг.</w:t>
      </w:r>
    </w:p>
    <w:p w14:paraId="13902D19" w14:textId="77777777" w:rsidR="00C37561" w:rsidRPr="007114BE" w:rsidRDefault="00C37561" w:rsidP="00C375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Рекомендуемая доза для взрослых и подростков старше 15 лет – по 1 суппозиторию вводят один раз в день, обычно перед сном. Максимальная суточная доза не должна превышать 150 мг.</w:t>
      </w:r>
    </w:p>
    <w:p w14:paraId="1D1EC8CA" w14:textId="77777777" w:rsidR="00C37561" w:rsidRPr="007114BE" w:rsidRDefault="00C37561" w:rsidP="00C3756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114BE">
        <w:rPr>
          <w:sz w:val="28"/>
          <w:szCs w:val="28"/>
        </w:rPr>
        <w:t xml:space="preserve">Возможна комбинация различных лекарственных форм, например, таблетки и </w:t>
      </w:r>
      <w:r w:rsidRPr="007114BE">
        <w:rPr>
          <w:rStyle w:val="af0"/>
          <w:bCs/>
          <w:i w:val="0"/>
          <w:iCs w:val="0"/>
          <w:sz w:val="28"/>
          <w:szCs w:val="28"/>
          <w:shd w:val="clear" w:color="auto" w:fill="FFFFFF"/>
        </w:rPr>
        <w:t>суппозитории</w:t>
      </w:r>
      <w:r w:rsidRPr="007114BE">
        <w:rPr>
          <w:rStyle w:val="apple-converted-space"/>
          <w:sz w:val="28"/>
          <w:szCs w:val="28"/>
          <w:shd w:val="clear" w:color="auto" w:fill="FFFFFF"/>
        </w:rPr>
        <w:t>.</w:t>
      </w:r>
      <w:r w:rsidRPr="007114BE">
        <w:rPr>
          <w:sz w:val="28"/>
          <w:szCs w:val="28"/>
        </w:rPr>
        <w:t xml:space="preserve"> </w:t>
      </w:r>
    </w:p>
    <w:p w14:paraId="4109A368" w14:textId="77777777" w:rsidR="00C37561" w:rsidRPr="007114BE" w:rsidRDefault="00C37561" w:rsidP="00C37561">
      <w:pPr>
        <w:spacing w:before="120" w:after="12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Особые группы пациентов</w:t>
      </w:r>
    </w:p>
    <w:p w14:paraId="29CEA533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7114BE">
        <w:rPr>
          <w:rFonts w:ascii="Times New Roman" w:eastAsia="Times New Roman" w:hAnsi="Times New Roman"/>
          <w:i/>
          <w:sz w:val="28"/>
          <w:szCs w:val="28"/>
        </w:rPr>
        <w:t xml:space="preserve">Пожилые пациенты: </w:t>
      </w:r>
    </w:p>
    <w:p w14:paraId="77A455E3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114BE">
        <w:rPr>
          <w:rFonts w:ascii="Times New Roman" w:eastAsia="Times New Roman" w:hAnsi="Times New Roman"/>
          <w:sz w:val="28"/>
          <w:szCs w:val="28"/>
        </w:rPr>
        <w:lastRenderedPageBreak/>
        <w:t>Хотя не отмечалось клинически значимые изменения фармакокинетического профиля</w:t>
      </w:r>
      <w:r w:rsidR="007114BE" w:rsidRPr="007114BE">
        <w:rPr>
          <w:rFonts w:ascii="Times New Roman" w:eastAsia="Times New Roman" w:hAnsi="Times New Roman"/>
          <w:sz w:val="28"/>
          <w:szCs w:val="28"/>
        </w:rPr>
        <w:t xml:space="preserve"> препарата </w:t>
      </w:r>
      <w:r w:rsidRPr="007114BE">
        <w:rPr>
          <w:rFonts w:ascii="Times New Roman" w:eastAsia="Times New Roman" w:hAnsi="Times New Roman"/>
          <w:sz w:val="28"/>
          <w:szCs w:val="28"/>
        </w:rPr>
        <w:t>ДИКЛОСЕЙФ</w:t>
      </w:r>
      <w:r w:rsidRPr="007114BE">
        <w:rPr>
          <w:rFonts w:ascii="Times New Roman" w:eastAsia="Times New Roman" w:hAnsi="Times New Roman"/>
          <w:sz w:val="28"/>
          <w:szCs w:val="28"/>
          <w:vertAlign w:val="superscript"/>
        </w:rPr>
        <w:t>®</w:t>
      </w:r>
      <w:r w:rsidRPr="007114BE">
        <w:rPr>
          <w:rFonts w:ascii="Times New Roman" w:eastAsia="Times New Roman" w:hAnsi="Times New Roman"/>
          <w:sz w:val="28"/>
          <w:szCs w:val="28"/>
        </w:rPr>
        <w:t xml:space="preserve"> у пожилых пациентов, НПВС следует назначать с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</w:rPr>
        <w:t>острожностью</w:t>
      </w:r>
      <w:proofErr w:type="spellEnd"/>
      <w:r w:rsidRPr="007114BE">
        <w:rPr>
          <w:rFonts w:ascii="Times New Roman" w:eastAsia="Times New Roman" w:hAnsi="Times New Roman"/>
          <w:sz w:val="28"/>
          <w:szCs w:val="28"/>
        </w:rPr>
        <w:t xml:space="preserve"> данной группе пациентов, которые склонны к развитию побочных эффектов. Ослабленным пациентам преклонного возраста или с малой массой тела рекомендуются минимально эффективные дозировки, а также мониторинг желудочно-кишечного кровотечения при проведении НПВС терапии.  </w:t>
      </w:r>
    </w:p>
    <w:p w14:paraId="767FE6CA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Нарушение функции почек: </w:t>
      </w:r>
    </w:p>
    <w:p w14:paraId="23C5C101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Диклофенак противопоказан пациентам с острой почечной недостаточностью. Исследования не проводились с участием пациентов с нарушением функции почек. Следовательно, не имеются рекомендации по корректировке дозы. </w:t>
      </w:r>
    </w:p>
    <w:p w14:paraId="748A134F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проявлять осторожность при применении диклофенака пациентами с легкой и умеренной почечной недостаточностью. </w:t>
      </w:r>
    </w:p>
    <w:p w14:paraId="7013B6A2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Печеночная недостаточность: </w:t>
      </w:r>
    </w:p>
    <w:p w14:paraId="3F524549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Диклофенак противопоказан пациентам с острой печеночной недостаточностью. Исследования не проводились с участием пациентов с нарушением функции печени. Следовательно, не имеются рекомендации по корректировке дозы. </w:t>
      </w:r>
    </w:p>
    <w:p w14:paraId="5238D2AB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Следует проявлять осторожность при применении диклофенака пациентами с легкой и умеренной печеночной недостаточностью. </w:t>
      </w:r>
    </w:p>
    <w:p w14:paraId="68F6B918" w14:textId="77777777" w:rsidR="00C37561" w:rsidRPr="00667B3B" w:rsidRDefault="00C37561" w:rsidP="00C37561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</w:rPr>
      </w:pPr>
      <w:r w:rsidRPr="00667B3B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667B3B">
        <w:rPr>
          <w:rFonts w:ascii="Times New Roman" w:hAnsi="Times New Roman"/>
          <w:b/>
          <w:i/>
          <w:color w:val="000000"/>
          <w:sz w:val="24"/>
        </w:rPr>
        <w:t xml:space="preserve"> </w:t>
      </w:r>
    </w:p>
    <w:p w14:paraId="5C27B8CA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114BE">
        <w:rPr>
          <w:rFonts w:ascii="Times New Roman" w:eastAsia="Times New Roman" w:hAnsi="Times New Roman"/>
          <w:sz w:val="28"/>
          <w:szCs w:val="28"/>
        </w:rPr>
        <w:t>Не принимать внутрь, только для ректального введения.</w:t>
      </w:r>
    </w:p>
    <w:p w14:paraId="7AE90CDF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114BE">
        <w:rPr>
          <w:rFonts w:ascii="Times New Roman" w:eastAsia="Times New Roman" w:hAnsi="Times New Roman"/>
          <w:sz w:val="28"/>
          <w:szCs w:val="28"/>
        </w:rPr>
        <w:t xml:space="preserve">Суппозитории вводить в прямую кишку. Рекомендуется вводить суппозитории после дефекации. </w:t>
      </w:r>
    </w:p>
    <w:p w14:paraId="599FD201" w14:textId="77777777" w:rsidR="006F7A1C" w:rsidRPr="00667B3B" w:rsidRDefault="00DB406A" w:rsidP="00667B3B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bookmarkStart w:id="4" w:name="2175220278"/>
      <w:bookmarkEnd w:id="3"/>
      <w:r w:rsidRPr="00667B3B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Меры, которые необходимо принять в случае передозировки</w:t>
      </w:r>
      <w:r w:rsidRPr="00667B3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14:paraId="6348481A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2175220280"/>
      <w:bookmarkEnd w:id="4"/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Симптомы:</w:t>
      </w: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типичная клиническая картина последствий передозировки диклофенака отсутствует. Передозировка может вызвать такие симптомы, как головная боль, тошнота, рвота, боль в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эпигастрии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гастроинтенстинальное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кровотечение, диарея, головокружение, дезориентация, возбуждение, кома, сонливость, звон в ушах, потеря сознания или судороги. В случае тяжелого отравления возможна острая почечная недостаточность и поражение печени. </w:t>
      </w:r>
    </w:p>
    <w:p w14:paraId="6703022E" w14:textId="77777777" w:rsidR="00C37561" w:rsidRPr="007114BE" w:rsidRDefault="00C37561" w:rsidP="00C37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Лечение: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провести симптоматическое лечение. В течение одного часа после применения потенциально токсической дозы следует рассмотреть возможность применения активированного угля. Кроме того, у взрослых следует рассмотреть возможность промывания желудка в течение одного часа после применения потенциально токсического количества препарата. При частых или длительных судорогах необходимо внутривенно ввести диазепам. С учетом клинического состояния пациента могут быть показаны другие мероприятия. </w:t>
      </w:r>
    </w:p>
    <w:bookmarkEnd w:id="5"/>
    <w:p w14:paraId="79779EC3" w14:textId="77777777" w:rsidR="00DB406A" w:rsidRPr="007114BE" w:rsidRDefault="00A12563" w:rsidP="004954E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bidi="ru-RU"/>
        </w:rPr>
      </w:pPr>
      <w:r w:rsidRPr="007114BE">
        <w:rPr>
          <w:rFonts w:ascii="Times New Roman" w:hAnsi="Times New Roman"/>
          <w:b/>
          <w:i/>
          <w:sz w:val="28"/>
          <w:szCs w:val="28"/>
          <w:lang w:bidi="ru-RU"/>
        </w:rPr>
        <w:t>Обратитесь к врачу или фармацевту за советом прежде, чем принимать лекарственный препарат.</w:t>
      </w:r>
    </w:p>
    <w:p w14:paraId="7D1288EF" w14:textId="77777777" w:rsidR="009B52F5" w:rsidRPr="007114BE" w:rsidRDefault="009B52F5" w:rsidP="009A663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B1C40D2" w14:textId="6592CBB7" w:rsidR="009A6638" w:rsidRDefault="009A6638" w:rsidP="009A663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Описание нежелательных реакций, </w:t>
      </w:r>
      <w:r w:rsidRPr="007114BE">
        <w:rPr>
          <w:rFonts w:ascii="Times New Roman" w:hAnsi="Times New Roman"/>
          <w:b/>
          <w:color w:val="000000"/>
          <w:sz w:val="28"/>
          <w:szCs w:val="28"/>
        </w:rPr>
        <w:t>которые проявляются при стандартном применении ЛП и меры, которые следует принять в этом случае</w:t>
      </w:r>
    </w:p>
    <w:p w14:paraId="15EF85D8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Следующие нежелательные эффекты включают явления, связанные с введением препарата Диклофенак суппозитории ректальные и/или других лекарственных форм диклофенака натрия при кратковременном и длительном приеме.</w:t>
      </w:r>
    </w:p>
    <w:p w14:paraId="20EE62DF" w14:textId="6F1594C1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Часто </w:t>
      </w:r>
    </w:p>
    <w:p w14:paraId="7453CFB6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-головная боль, головокружение</w:t>
      </w:r>
    </w:p>
    <w:p w14:paraId="4E547CFE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-тошнота, рвота, диарея, диспепсия, боль в животе, метеоризм, пониженный аппетит</w:t>
      </w:r>
    </w:p>
    <w:p w14:paraId="1A4BEA20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-повышение уровня трансаминаз</w:t>
      </w:r>
    </w:p>
    <w:p w14:paraId="6D619CE6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-кожная сыпь</w:t>
      </w:r>
    </w:p>
    <w:p w14:paraId="54CD0423" w14:textId="29F8A0F5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Редко </w:t>
      </w:r>
    </w:p>
    <w:p w14:paraId="582491CC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 гиперчувствительность, анафилактические и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анафилактоидные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реакции (включая артериальную гипотензию и шок)</w:t>
      </w:r>
    </w:p>
    <w:p w14:paraId="0DFA2C35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сонливость, утомляемость</w:t>
      </w:r>
    </w:p>
    <w:p w14:paraId="517EB2B6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бронхиальная астма (включая одышку)</w:t>
      </w:r>
    </w:p>
    <w:p w14:paraId="049AD892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гастрит, желудочно-кишечное кровотечение, кровавая рвота, геморрагическая диарея, мелена, язвы желудка и кишечника (сопровождающиеся или не сопровождающиеся кровотечением или перфорацией)</w:t>
      </w:r>
    </w:p>
    <w:p w14:paraId="43731475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гепатит, желтуха, нарушение функции печени</w:t>
      </w:r>
    </w:p>
    <w:p w14:paraId="30E4A7EB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крапивница</w:t>
      </w:r>
    </w:p>
    <w:p w14:paraId="4F0AACED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раздражение в месте введения, отеки</w:t>
      </w:r>
    </w:p>
    <w:p w14:paraId="6798CFAB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болезненность молочных желез, нарушение репродуктивной функции у женщин</w:t>
      </w:r>
    </w:p>
    <w:p w14:paraId="6C63CF93" w14:textId="42439F9C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Очень редко </w:t>
      </w:r>
    </w:p>
    <w:p w14:paraId="4C1F2F4A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 тромбоцитопения, лейкопения, гемолитическая анемия,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апластическая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анемия, агранулоцитоз</w:t>
      </w:r>
    </w:p>
    <w:p w14:paraId="63661182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ангионевротический отек (включая отек лица)</w:t>
      </w:r>
    </w:p>
    <w:p w14:paraId="5DBA8A15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дезориентация, депрессия, бессонница, ночные кошмары, раздражительность, психические расстройства</w:t>
      </w:r>
    </w:p>
    <w:p w14:paraId="58502A02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парестезии, расстройства памяти, судороги</w:t>
      </w:r>
    </w:p>
    <w:p w14:paraId="16687B86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тревожность, тремор, нарушения вкуса, асептический менингит, инсульт</w:t>
      </w:r>
    </w:p>
    <w:p w14:paraId="415793A1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нарушения зрения, нечеткость зрения, диплопия</w:t>
      </w:r>
    </w:p>
    <w:p w14:paraId="57C75A0F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нарушения слуха, шум в ушах</w:t>
      </w:r>
    </w:p>
    <w:p w14:paraId="15D6D1BC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учащенное сердцебиение, боль в груди, сердечная недостаточность, инфаркт миокарда</w:t>
      </w:r>
    </w:p>
    <w:p w14:paraId="6D38DC6E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 артериальная гипертензия, артериальная гипотензия, васкулит </w:t>
      </w:r>
    </w:p>
    <w:p w14:paraId="396D5E93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пневмонит</w:t>
      </w:r>
      <w:proofErr w:type="spellEnd"/>
    </w:p>
    <w:p w14:paraId="33D1F58F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колит (включая геморрагический колит и обострение язвенного колита или болезни Крона)</w:t>
      </w:r>
    </w:p>
    <w:p w14:paraId="18C645B8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запор, стоматит (в том числе язвенный стоматит), глоссит</w:t>
      </w:r>
    </w:p>
    <w:p w14:paraId="096D645C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 нарушение функции пищевода,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диафрагмоподобный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стеноз кишечника</w:t>
      </w:r>
    </w:p>
    <w:p w14:paraId="44AFDFF5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 панкреатит</w:t>
      </w:r>
    </w:p>
    <w:p w14:paraId="2A2F9F3C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молниеносный гепатит, печеночный некроз, печеночная недостаточность</w:t>
      </w:r>
    </w:p>
    <w:p w14:paraId="7FFC837B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-заболевания кожи и подкожной клетчатки</w:t>
      </w:r>
    </w:p>
    <w:p w14:paraId="154CF8DA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буллезные высыпания, экзема, эритема,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мультиформная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эритема</w:t>
      </w:r>
    </w:p>
    <w:p w14:paraId="44F37DB7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 синдром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Стивенса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-Джонсона, токсический эпидермальный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некролиз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(синдром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Лайелла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эксфолиативный</w:t>
      </w:r>
      <w:proofErr w:type="spellEnd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дерматит</w:t>
      </w:r>
    </w:p>
    <w:p w14:paraId="4C2AAA00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алопеция, реакции фоточувствительности, пурпура, в том числе аллергическая, зуд</w:t>
      </w:r>
    </w:p>
    <w:p w14:paraId="1BC897A5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острая почечная недостаточность, гематурия, протеинурия</w:t>
      </w:r>
    </w:p>
    <w:p w14:paraId="796E6004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 нефротический синдром, интерстициальный нефрит, почечный папиллярный некроз, расстройство мочеиспускания</w:t>
      </w:r>
    </w:p>
    <w:p w14:paraId="1A6679CF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импотенция</w:t>
      </w:r>
    </w:p>
    <w:p w14:paraId="685BB384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 неизвестной частотой </w:t>
      </w:r>
    </w:p>
    <w:p w14:paraId="2102CD6F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 спутанность сознания, галлюцинации</w:t>
      </w:r>
    </w:p>
    <w:p w14:paraId="038FE62E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нарушение чувствительности, общее недомогание</w:t>
      </w:r>
    </w:p>
    <w:p w14:paraId="427E37CC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- неврит зрительного нерва</w:t>
      </w:r>
    </w:p>
    <w:p w14:paraId="7F2F52B7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- синдром </w:t>
      </w:r>
      <w:proofErr w:type="spellStart"/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Коуниса</w:t>
      </w:r>
      <w:proofErr w:type="spellEnd"/>
    </w:p>
    <w:p w14:paraId="55852CDE" w14:textId="77777777" w:rsidR="00C37561" w:rsidRPr="007114BE" w:rsidRDefault="00C37561" w:rsidP="00C37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Клинические исследования и данные эпидемиологических исследований указывают на то, что применение диклофенака повышает риск возникновения тромботических осложнений (например, инфаркта миокарда или инсульта), особенно при длительном применении или в высоких дозах (150 мг в сутки).</w:t>
      </w:r>
    </w:p>
    <w:p w14:paraId="71171A2F" w14:textId="77777777" w:rsidR="009A6638" w:rsidRPr="007114BE" w:rsidRDefault="009A6638" w:rsidP="009A6638">
      <w:pPr>
        <w:pStyle w:val="ac"/>
        <w:jc w:val="both"/>
        <w:rPr>
          <w:rFonts w:ascii="Times New Roman" w:hAnsi="Times New Roman"/>
          <w:b/>
          <w:color w:val="000000"/>
          <w:sz w:val="28"/>
        </w:rPr>
      </w:pPr>
      <w:r w:rsidRPr="007114BE">
        <w:rPr>
          <w:rFonts w:ascii="Times New Roman" w:hAnsi="Times New Roman"/>
          <w:b/>
          <w:color w:val="000000"/>
          <w:sz w:val="28"/>
        </w:rPr>
        <w:t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</w:p>
    <w:p w14:paraId="1E547F9A" w14:textId="77777777" w:rsidR="009A6638" w:rsidRPr="007114BE" w:rsidRDefault="009A6638" w:rsidP="009A66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4BE">
        <w:rPr>
          <w:rFonts w:ascii="Times New Roman" w:hAnsi="Times New Roman"/>
          <w:sz w:val="28"/>
          <w:szCs w:val="28"/>
        </w:rPr>
        <w:t xml:space="preserve">РГП на ПХВ «Национальный Центр экспертизы лекарственных средств и медицинских изделий» Комитета </w:t>
      </w:r>
      <w:r w:rsidR="0005577B">
        <w:rPr>
          <w:rFonts w:ascii="Times New Roman" w:hAnsi="Times New Roman"/>
          <w:sz w:val="28"/>
          <w:szCs w:val="28"/>
        </w:rPr>
        <w:t xml:space="preserve">медицинского и фармацевтического контроля </w:t>
      </w:r>
      <w:r w:rsidRPr="007114BE">
        <w:rPr>
          <w:rFonts w:ascii="Times New Roman" w:hAnsi="Times New Roman"/>
          <w:sz w:val="28"/>
          <w:szCs w:val="28"/>
        </w:rPr>
        <w:t>Министерства здравоохранения Республики Казахстан</w:t>
      </w:r>
    </w:p>
    <w:p w14:paraId="2AAFFA9B" w14:textId="77777777" w:rsidR="009A6638" w:rsidRPr="0005577B" w:rsidRDefault="00BB6AB2" w:rsidP="009A6638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9A6638" w:rsidRPr="007114BE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9A6638" w:rsidRPr="007114BE">
          <w:rPr>
            <w:rStyle w:val="af"/>
            <w:rFonts w:ascii="Times New Roman" w:hAnsi="Times New Roman"/>
            <w:color w:val="auto"/>
            <w:sz w:val="28"/>
            <w:szCs w:val="28"/>
          </w:rPr>
          <w:t>://</w:t>
        </w:r>
        <w:r w:rsidR="009A6638" w:rsidRPr="007114BE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9A6638" w:rsidRPr="007114BE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9A6638" w:rsidRPr="007114BE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ndda</w:t>
        </w:r>
        <w:proofErr w:type="spellEnd"/>
        <w:r w:rsidR="009A6638" w:rsidRPr="007114BE">
          <w:rPr>
            <w:rStyle w:val="af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9A6638" w:rsidRPr="007114BE">
          <w:rPr>
            <w:rStyle w:val="af"/>
            <w:rFonts w:ascii="Times New Roman" w:hAnsi="Times New Roman"/>
            <w:color w:val="auto"/>
            <w:sz w:val="28"/>
            <w:szCs w:val="28"/>
            <w:lang w:val="en-US"/>
          </w:rPr>
          <w:t>kz</w:t>
        </w:r>
        <w:proofErr w:type="spellEnd"/>
      </w:hyperlink>
      <w:r w:rsidR="0005577B">
        <w:rPr>
          <w:rStyle w:val="af"/>
          <w:rFonts w:ascii="Times New Roman" w:hAnsi="Times New Roman"/>
          <w:color w:val="auto"/>
          <w:sz w:val="28"/>
          <w:szCs w:val="28"/>
        </w:rPr>
        <w:t xml:space="preserve"> </w:t>
      </w:r>
    </w:p>
    <w:p w14:paraId="3C2DE6F9" w14:textId="77777777" w:rsidR="006F7A1C" w:rsidRPr="007114BE" w:rsidRDefault="006F7A1C" w:rsidP="004954E1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02B00E" w14:textId="77777777" w:rsidR="000C2C4B" w:rsidRPr="007114BE" w:rsidRDefault="000C2C4B" w:rsidP="004954E1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2A28DB82" w14:textId="77777777" w:rsidR="007114BE" w:rsidRPr="007114BE" w:rsidRDefault="007114BE" w:rsidP="00C3756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bookmarkStart w:id="6" w:name="2175220285"/>
      <w:bookmarkStart w:id="7" w:name="2175220286"/>
      <w:r w:rsidRPr="007114B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Состав лекарственного препарата</w:t>
      </w:r>
      <w:bookmarkEnd w:id="6"/>
      <w:r w:rsidRPr="007114BE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</w:p>
    <w:p w14:paraId="7C79DC92" w14:textId="1246C416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Cs/>
          <w:sz w:val="28"/>
          <w:szCs w:val="28"/>
          <w:lang w:eastAsia="ru-RU"/>
        </w:rPr>
        <w:t>Один суппозиторий содержит</w:t>
      </w:r>
    </w:p>
    <w:p w14:paraId="6A0FBEC7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sz w:val="28"/>
          <w:szCs w:val="28"/>
          <w:lang w:eastAsia="ru-RU"/>
        </w:rPr>
        <w:t>активное вещество</w:t>
      </w:r>
      <w:r w:rsidRPr="007114BE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: </w:t>
      </w:r>
      <w:r w:rsidRPr="007114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диклофенак натрия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577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0 мг</w:t>
      </w:r>
      <w:r w:rsidRPr="00711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</w:p>
    <w:p w14:paraId="7916CE4D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вспомогательн</w:t>
      </w:r>
      <w:r w:rsidR="00FD384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ое</w:t>
      </w:r>
      <w:r w:rsidRPr="007114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веществ</w:t>
      </w:r>
      <w:r w:rsidR="00FD384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</w:t>
      </w:r>
      <w:r w:rsidRPr="007114BE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</w:t>
      </w:r>
      <w:r w:rsidR="007114BE" w:rsidRPr="007114BE">
        <w:rPr>
          <w:rFonts w:ascii="Times New Roman" w:eastAsia="Times New Roman" w:hAnsi="Times New Roman"/>
          <w:bCs/>
          <w:sz w:val="28"/>
          <w:szCs w:val="28"/>
          <w:lang w:eastAsia="ru-RU"/>
        </w:rPr>
        <w:t>жир</w:t>
      </w:r>
      <w:r w:rsidRPr="00711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5577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</w:t>
      </w:r>
      <w:r w:rsidR="0005577B" w:rsidRPr="007114BE">
        <w:rPr>
          <w:rFonts w:ascii="Times New Roman" w:eastAsia="Times New Roman" w:hAnsi="Times New Roman"/>
          <w:bCs/>
          <w:sz w:val="28"/>
          <w:szCs w:val="28"/>
          <w:lang w:eastAsia="ru-RU"/>
        </w:rPr>
        <w:t>вердый</w:t>
      </w:r>
      <w:r w:rsidR="0005577B" w:rsidRPr="0071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1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proofErr w:type="spellStart"/>
      <w:r w:rsidRPr="007114B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Suppocire</w:t>
      </w:r>
      <w:proofErr w:type="spellEnd"/>
      <w:r w:rsidRPr="0071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114B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NAI</w:t>
      </w:r>
      <w:r w:rsidRPr="0071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25</w:t>
      </w:r>
      <w:r w:rsidRPr="007114BE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A</w:t>
      </w:r>
      <w:r w:rsidRPr="0071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</w:p>
    <w:p w14:paraId="7AF56365" w14:textId="77777777" w:rsidR="004B172B" w:rsidRPr="007114BE" w:rsidRDefault="004B172B" w:rsidP="004954E1">
      <w:pPr>
        <w:spacing w:after="0" w:line="240" w:lineRule="auto"/>
        <w:ind w:left="2977" w:hanging="2977"/>
        <w:jc w:val="both"/>
        <w:rPr>
          <w:rFonts w:ascii="Times New Roman" w:hAnsi="Times New Roman"/>
          <w:bCs/>
          <w:iCs/>
          <w:spacing w:val="-2"/>
          <w:sz w:val="28"/>
          <w:szCs w:val="28"/>
        </w:rPr>
      </w:pPr>
    </w:p>
    <w:p w14:paraId="32F30A9C" w14:textId="77777777" w:rsidR="006B7A90" w:rsidRPr="007114BE" w:rsidRDefault="006B7A90" w:rsidP="00C375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внешнего вида, запаха, вкуса</w:t>
      </w:r>
    </w:p>
    <w:p w14:paraId="30EAD252" w14:textId="77777777" w:rsidR="00C37561" w:rsidRPr="007114BE" w:rsidRDefault="00C37561" w:rsidP="00C3756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8" w:name="2175220287"/>
      <w:bookmarkEnd w:id="7"/>
      <w:r w:rsidRPr="0071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Суппозитории от белого до светло - желтого цвета, </w:t>
      </w:r>
      <w:proofErr w:type="spellStart"/>
      <w:r w:rsidRPr="0071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торпедообразной</w:t>
      </w:r>
      <w:proofErr w:type="spellEnd"/>
      <w:r w:rsidRPr="007114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формы</w:t>
      </w:r>
      <w:r w:rsidR="00DE6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3B9370DA" w14:textId="77777777" w:rsidR="009B52F5" w:rsidRPr="007114BE" w:rsidRDefault="009B52F5" w:rsidP="004954E1">
      <w:pPr>
        <w:spacing w:after="0" w:line="240" w:lineRule="auto"/>
        <w:ind w:right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hu-HU" w:bidi="ru-RU"/>
        </w:rPr>
      </w:pPr>
    </w:p>
    <w:p w14:paraId="225D259A" w14:textId="77777777" w:rsidR="00410EFA" w:rsidRPr="007114BE" w:rsidRDefault="00410EFA" w:rsidP="00410E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выпуска  и упаковка</w:t>
      </w:r>
    </w:p>
    <w:p w14:paraId="6A784695" w14:textId="77777777" w:rsidR="00DE6B55" w:rsidRPr="00DE6B55" w:rsidRDefault="00DE6B55" w:rsidP="00DE6B55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DE6B5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По 5 суппозиториев в контурную </w:t>
      </w:r>
      <w:proofErr w:type="spellStart"/>
      <w:r w:rsidRPr="00DE6B55">
        <w:rPr>
          <w:rFonts w:ascii="Times New Roman" w:eastAsia="Microsoft Sans Serif" w:hAnsi="Times New Roman"/>
          <w:sz w:val="28"/>
          <w:szCs w:val="28"/>
          <w:lang w:eastAsia="ru-RU" w:bidi="ru-RU"/>
        </w:rPr>
        <w:t>безъячейковую</w:t>
      </w:r>
      <w:proofErr w:type="spellEnd"/>
      <w:r w:rsidRPr="00DE6B5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упаковку из ПВХ/ПЭ. </w:t>
      </w:r>
    </w:p>
    <w:p w14:paraId="2338A077" w14:textId="6F20612E" w:rsidR="00DE6B55" w:rsidRPr="00DE6B55" w:rsidRDefault="00DE6B55" w:rsidP="00DE6B55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DE6B55">
        <w:rPr>
          <w:rFonts w:ascii="Times New Roman" w:eastAsia="Microsoft Sans Serif" w:hAnsi="Times New Roman"/>
          <w:sz w:val="28"/>
          <w:szCs w:val="28"/>
          <w:lang w:eastAsia="ru-RU" w:bidi="ru-RU"/>
        </w:rPr>
        <w:lastRenderedPageBreak/>
        <w:t xml:space="preserve">По 1 или 2 контурные </w:t>
      </w:r>
      <w:proofErr w:type="spellStart"/>
      <w:r w:rsidRPr="00DE6B55">
        <w:rPr>
          <w:rFonts w:ascii="Times New Roman" w:eastAsia="Microsoft Sans Serif" w:hAnsi="Times New Roman"/>
          <w:sz w:val="28"/>
          <w:szCs w:val="28"/>
          <w:lang w:eastAsia="ru-RU" w:bidi="ru-RU"/>
        </w:rPr>
        <w:t>безъячейковые</w:t>
      </w:r>
      <w:proofErr w:type="spellEnd"/>
      <w:r w:rsidRPr="00DE6B55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упаковки вместе с инструкцией по медицинскому применению на </w:t>
      </w:r>
      <w:r w:rsidR="00A64470">
        <w:rPr>
          <w:rFonts w:ascii="Times New Roman" w:eastAsia="Microsoft Sans Serif" w:hAnsi="Times New Roman"/>
          <w:sz w:val="28"/>
          <w:szCs w:val="28"/>
          <w:lang w:eastAsia="ru-RU" w:bidi="ru-RU"/>
        </w:rPr>
        <w:t>казахск</w:t>
      </w:r>
      <w:r w:rsidRPr="00DE6B55">
        <w:rPr>
          <w:rFonts w:ascii="Times New Roman" w:eastAsia="Microsoft Sans Serif" w:hAnsi="Times New Roman"/>
          <w:sz w:val="28"/>
          <w:szCs w:val="28"/>
          <w:lang w:eastAsia="ru-RU" w:bidi="ru-RU"/>
        </w:rPr>
        <w:t>ом и русском языках вкладывают в пачку из картона.</w:t>
      </w:r>
    </w:p>
    <w:p w14:paraId="4E70C301" w14:textId="77777777" w:rsidR="00410EFA" w:rsidRPr="007114BE" w:rsidRDefault="00410EFA" w:rsidP="00410E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F5EC08" w14:textId="77777777" w:rsidR="00410EFA" w:rsidRPr="007114BE" w:rsidRDefault="00410EFA" w:rsidP="00410EF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хранения </w:t>
      </w:r>
    </w:p>
    <w:p w14:paraId="336CD39C" w14:textId="77777777" w:rsidR="00870BA9" w:rsidRPr="007114BE" w:rsidRDefault="00F54DE6" w:rsidP="004954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70BA9"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70FEE64E" w14:textId="77777777" w:rsidR="000E01AB" w:rsidRPr="007114BE" w:rsidRDefault="00D14D61" w:rsidP="004954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0E01AB" w:rsidRPr="007114BE">
        <w:rPr>
          <w:rFonts w:ascii="Times New Roman" w:eastAsia="Times New Roman" w:hAnsi="Times New Roman"/>
          <w:sz w:val="28"/>
          <w:szCs w:val="28"/>
          <w:lang w:eastAsia="ru-RU"/>
        </w:rPr>
        <w:t>примен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ять </w:t>
      </w:r>
      <w:r w:rsidR="000E01AB" w:rsidRPr="007114BE">
        <w:rPr>
          <w:rFonts w:ascii="Times New Roman" w:eastAsia="Times New Roman" w:hAnsi="Times New Roman"/>
          <w:sz w:val="28"/>
          <w:szCs w:val="28"/>
          <w:lang w:eastAsia="ru-RU"/>
        </w:rPr>
        <w:t>по истечении срока годности</w:t>
      </w:r>
      <w:r w:rsidR="003859F4" w:rsidRPr="007114B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D627FB" w14:textId="77777777" w:rsidR="00C37561" w:rsidRPr="007114BE" w:rsidRDefault="00C37561" w:rsidP="004954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C8CCE2" w14:textId="77777777" w:rsidR="004954E1" w:rsidRPr="007114BE" w:rsidRDefault="004954E1" w:rsidP="004954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отпуска из аптек</w:t>
      </w:r>
    </w:p>
    <w:p w14:paraId="0168C7F5" w14:textId="77777777" w:rsidR="004954E1" w:rsidRPr="007114BE" w:rsidRDefault="004954E1" w:rsidP="004954E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 рецепту </w:t>
      </w:r>
    </w:p>
    <w:p w14:paraId="2BCBAAEB" w14:textId="77777777" w:rsidR="004954E1" w:rsidRPr="007114BE" w:rsidRDefault="004954E1" w:rsidP="004954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9" w:name="2175220288"/>
      <w:bookmarkEnd w:id="8"/>
    </w:p>
    <w:p w14:paraId="3F68B398" w14:textId="77777777" w:rsidR="000E01AB" w:rsidRPr="007114BE" w:rsidRDefault="00D14D61" w:rsidP="004954E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хранения</w:t>
      </w:r>
    </w:p>
    <w:bookmarkEnd w:id="9"/>
    <w:p w14:paraId="2EBE925E" w14:textId="77777777" w:rsidR="00322BD8" w:rsidRPr="007114BE" w:rsidRDefault="00322BD8" w:rsidP="00322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114BE">
        <w:rPr>
          <w:rFonts w:ascii="Times New Roman" w:eastAsia="Times New Roman" w:hAnsi="Times New Roman"/>
          <w:sz w:val="28"/>
          <w:szCs w:val="28"/>
          <w:lang w:val="kk-KZ" w:eastAsia="ru-RU"/>
        </w:rPr>
        <w:t>сухом</w:t>
      </w: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, защищенном от света месте, при температуре не выше 25º С. </w:t>
      </w:r>
    </w:p>
    <w:p w14:paraId="6001EE86" w14:textId="77777777" w:rsidR="00322BD8" w:rsidRPr="007114BE" w:rsidRDefault="00322BD8" w:rsidP="00322BD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sz w:val="28"/>
          <w:szCs w:val="28"/>
          <w:lang w:eastAsia="ru-RU"/>
        </w:rPr>
        <w:t xml:space="preserve">Хранить в недоступном для детей месте! </w:t>
      </w:r>
    </w:p>
    <w:p w14:paraId="4528645E" w14:textId="77777777" w:rsidR="004954E1" w:rsidRPr="007114BE" w:rsidRDefault="004954E1" w:rsidP="004954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99F543F" w14:textId="77777777" w:rsidR="006B7A90" w:rsidRPr="007114BE" w:rsidRDefault="007C1693" w:rsidP="004954E1">
      <w:pPr>
        <w:spacing w:before="120"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306FD685" w14:textId="77777777" w:rsidR="003859F4" w:rsidRPr="007114BE" w:rsidRDefault="003859F4" w:rsidP="003859F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Кусум </w:t>
      </w:r>
      <w:proofErr w:type="spellStart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Хелткер</w:t>
      </w:r>
      <w:proofErr w:type="spellEnd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 </w:t>
      </w:r>
      <w:proofErr w:type="spellStart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Пвт</w:t>
      </w:r>
      <w:proofErr w:type="spellEnd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. Лтд., СП 289 (А), РИИКО </w:t>
      </w:r>
      <w:proofErr w:type="spellStart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Индл</w:t>
      </w:r>
      <w:proofErr w:type="spellEnd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. </w:t>
      </w:r>
      <w:proofErr w:type="spellStart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Ареа</w:t>
      </w:r>
      <w:proofErr w:type="spellEnd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 </w:t>
      </w:r>
      <w:proofErr w:type="spellStart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Чопанки</w:t>
      </w:r>
      <w:proofErr w:type="spellEnd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, </w:t>
      </w:r>
      <w:proofErr w:type="spellStart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Бхивади</w:t>
      </w:r>
      <w:proofErr w:type="spellEnd"/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 (Радж.), Индия</w:t>
      </w:r>
    </w:p>
    <w:p w14:paraId="4D8579CB" w14:textId="77777777" w:rsidR="003859F4" w:rsidRPr="007114BE" w:rsidRDefault="003859F4" w:rsidP="003859F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Тел: +91-1493-516561</w:t>
      </w:r>
    </w:p>
    <w:p w14:paraId="149E338B" w14:textId="77777777" w:rsidR="003859F4" w:rsidRPr="007114BE" w:rsidRDefault="003859F4" w:rsidP="003859F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>факс: +91-1493-516562</w:t>
      </w:r>
    </w:p>
    <w:p w14:paraId="142C2A53" w14:textId="77777777" w:rsidR="003859F4" w:rsidRPr="007114BE" w:rsidRDefault="003859F4" w:rsidP="003859F4">
      <w:pPr>
        <w:autoSpaceDE w:val="0"/>
        <w:autoSpaceDN w:val="0"/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bidi="ru-RU"/>
        </w:rPr>
      </w:pPr>
      <w:r w:rsidRPr="007114BE">
        <w:rPr>
          <w:rFonts w:ascii="Times New Roman" w:eastAsia="Microsoft Sans Serif" w:hAnsi="Times New Roman"/>
          <w:sz w:val="28"/>
          <w:szCs w:val="28"/>
          <w:lang w:bidi="ru-RU"/>
        </w:rPr>
        <w:t xml:space="preserve">Адрес электронной почты: </w:t>
      </w:r>
      <w:hyperlink r:id="rId9" w:history="1">
        <w:r w:rsidRPr="007114BE">
          <w:rPr>
            <w:rStyle w:val="af"/>
            <w:rFonts w:ascii="Times New Roman" w:eastAsia="Microsoft Sans Serif" w:hAnsi="Times New Roman"/>
            <w:sz w:val="28"/>
            <w:szCs w:val="28"/>
            <w:lang w:bidi="ru-RU"/>
          </w:rPr>
          <w:t>info@kusum.com</w:t>
        </w:r>
      </w:hyperlink>
    </w:p>
    <w:p w14:paraId="7D6068EC" w14:textId="77777777" w:rsidR="007D681B" w:rsidRPr="007114BE" w:rsidRDefault="007D681B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6A61D77" w14:textId="77777777" w:rsidR="00D76048" w:rsidRPr="007114BE" w:rsidRDefault="005A3C81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7114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5DC5689F" w14:textId="77777777" w:rsidR="003859F4" w:rsidRPr="007114BE" w:rsidRDefault="003859F4" w:rsidP="003859F4">
      <w:pPr>
        <w:pStyle w:val="Style5"/>
        <w:tabs>
          <w:tab w:val="left" w:pos="7371"/>
        </w:tabs>
        <w:rPr>
          <w:rFonts w:eastAsia="Microsoft Sans Serif"/>
          <w:sz w:val="28"/>
          <w:szCs w:val="28"/>
          <w:lang w:bidi="ru-RU"/>
        </w:rPr>
      </w:pPr>
      <w:r w:rsidRPr="007114BE">
        <w:rPr>
          <w:rFonts w:eastAsia="Microsoft Sans Serif"/>
          <w:sz w:val="28"/>
          <w:szCs w:val="28"/>
          <w:lang w:bidi="ru-RU"/>
        </w:rPr>
        <w:t xml:space="preserve">Кусум </w:t>
      </w:r>
      <w:proofErr w:type="spellStart"/>
      <w:r w:rsidRPr="007114BE">
        <w:rPr>
          <w:rFonts w:eastAsia="Microsoft Sans Serif"/>
          <w:sz w:val="28"/>
          <w:szCs w:val="28"/>
          <w:lang w:bidi="ru-RU"/>
        </w:rPr>
        <w:t>Хелткер</w:t>
      </w:r>
      <w:proofErr w:type="spellEnd"/>
      <w:r w:rsidRPr="007114BE">
        <w:rPr>
          <w:rFonts w:eastAsia="Microsoft Sans Serif"/>
          <w:sz w:val="28"/>
          <w:szCs w:val="28"/>
          <w:lang w:bidi="ru-RU"/>
        </w:rPr>
        <w:t xml:space="preserve"> </w:t>
      </w:r>
      <w:proofErr w:type="spellStart"/>
      <w:r w:rsidRPr="007114BE">
        <w:rPr>
          <w:rFonts w:eastAsia="Microsoft Sans Serif"/>
          <w:sz w:val="28"/>
          <w:szCs w:val="28"/>
          <w:lang w:bidi="ru-RU"/>
        </w:rPr>
        <w:t>Пвт</w:t>
      </w:r>
      <w:proofErr w:type="spellEnd"/>
      <w:r w:rsidRPr="007114BE">
        <w:rPr>
          <w:rFonts w:eastAsia="Microsoft Sans Serif"/>
          <w:sz w:val="28"/>
          <w:szCs w:val="28"/>
          <w:lang w:bidi="ru-RU"/>
        </w:rPr>
        <w:t xml:space="preserve">. Лтд., СП 289 (А), РИИКО </w:t>
      </w:r>
      <w:proofErr w:type="spellStart"/>
      <w:r w:rsidRPr="007114BE">
        <w:rPr>
          <w:rFonts w:eastAsia="Microsoft Sans Serif"/>
          <w:sz w:val="28"/>
          <w:szCs w:val="28"/>
          <w:lang w:bidi="ru-RU"/>
        </w:rPr>
        <w:t>Индл</w:t>
      </w:r>
      <w:proofErr w:type="spellEnd"/>
      <w:r w:rsidRPr="007114BE">
        <w:rPr>
          <w:rFonts w:eastAsia="Microsoft Sans Serif"/>
          <w:sz w:val="28"/>
          <w:szCs w:val="28"/>
          <w:lang w:bidi="ru-RU"/>
        </w:rPr>
        <w:t xml:space="preserve">. </w:t>
      </w:r>
      <w:proofErr w:type="spellStart"/>
      <w:r w:rsidRPr="007114BE">
        <w:rPr>
          <w:rFonts w:eastAsia="Microsoft Sans Serif"/>
          <w:sz w:val="28"/>
          <w:szCs w:val="28"/>
          <w:lang w:bidi="ru-RU"/>
        </w:rPr>
        <w:t>Ареа</w:t>
      </w:r>
      <w:proofErr w:type="spellEnd"/>
      <w:r w:rsidRPr="007114BE">
        <w:rPr>
          <w:rFonts w:eastAsia="Microsoft Sans Serif"/>
          <w:sz w:val="28"/>
          <w:szCs w:val="28"/>
          <w:lang w:bidi="ru-RU"/>
        </w:rPr>
        <w:t xml:space="preserve"> </w:t>
      </w:r>
      <w:proofErr w:type="spellStart"/>
      <w:r w:rsidRPr="007114BE">
        <w:rPr>
          <w:rFonts w:eastAsia="Microsoft Sans Serif"/>
          <w:sz w:val="28"/>
          <w:szCs w:val="28"/>
          <w:lang w:bidi="ru-RU"/>
        </w:rPr>
        <w:t>Чопанки</w:t>
      </w:r>
      <w:proofErr w:type="spellEnd"/>
      <w:r w:rsidRPr="007114BE">
        <w:rPr>
          <w:rFonts w:eastAsia="Microsoft Sans Serif"/>
          <w:sz w:val="28"/>
          <w:szCs w:val="28"/>
          <w:lang w:bidi="ru-RU"/>
        </w:rPr>
        <w:t xml:space="preserve">, </w:t>
      </w:r>
      <w:proofErr w:type="spellStart"/>
      <w:r w:rsidRPr="007114BE">
        <w:rPr>
          <w:rFonts w:eastAsia="Microsoft Sans Serif"/>
          <w:sz w:val="28"/>
          <w:szCs w:val="28"/>
          <w:lang w:bidi="ru-RU"/>
        </w:rPr>
        <w:t>Бхивади</w:t>
      </w:r>
      <w:proofErr w:type="spellEnd"/>
      <w:r w:rsidRPr="007114BE">
        <w:rPr>
          <w:rFonts w:eastAsia="Microsoft Sans Serif"/>
          <w:sz w:val="28"/>
          <w:szCs w:val="28"/>
          <w:lang w:bidi="ru-RU"/>
        </w:rPr>
        <w:t xml:space="preserve"> (Радж.), Индия</w:t>
      </w:r>
    </w:p>
    <w:p w14:paraId="794B887B" w14:textId="77777777" w:rsidR="003859F4" w:rsidRPr="007114BE" w:rsidRDefault="003859F4" w:rsidP="003859F4">
      <w:pPr>
        <w:pStyle w:val="Style5"/>
        <w:tabs>
          <w:tab w:val="left" w:pos="7371"/>
        </w:tabs>
        <w:rPr>
          <w:rFonts w:eastAsia="Microsoft Sans Serif"/>
          <w:sz w:val="28"/>
          <w:szCs w:val="28"/>
          <w:lang w:bidi="ru-RU"/>
        </w:rPr>
      </w:pPr>
      <w:r w:rsidRPr="007114BE">
        <w:rPr>
          <w:rFonts w:eastAsia="Microsoft Sans Serif"/>
          <w:sz w:val="28"/>
          <w:szCs w:val="28"/>
          <w:lang w:bidi="ru-RU"/>
        </w:rPr>
        <w:t>Тел: +91-1493-516561</w:t>
      </w:r>
    </w:p>
    <w:p w14:paraId="61BFC606" w14:textId="77777777" w:rsidR="003859F4" w:rsidRPr="007114BE" w:rsidRDefault="003859F4" w:rsidP="003859F4">
      <w:pPr>
        <w:pStyle w:val="Style5"/>
        <w:tabs>
          <w:tab w:val="left" w:pos="7371"/>
        </w:tabs>
        <w:rPr>
          <w:rFonts w:eastAsia="Microsoft Sans Serif"/>
          <w:sz w:val="28"/>
          <w:szCs w:val="28"/>
          <w:lang w:bidi="ru-RU"/>
        </w:rPr>
      </w:pPr>
      <w:r w:rsidRPr="007114BE">
        <w:rPr>
          <w:rFonts w:eastAsia="Microsoft Sans Serif"/>
          <w:sz w:val="28"/>
          <w:szCs w:val="28"/>
          <w:lang w:bidi="ru-RU"/>
        </w:rPr>
        <w:t>факс: +91-1493-516562</w:t>
      </w:r>
    </w:p>
    <w:p w14:paraId="151CD163" w14:textId="77777777" w:rsidR="003859F4" w:rsidRPr="007114BE" w:rsidRDefault="003859F4" w:rsidP="003859F4">
      <w:pPr>
        <w:pStyle w:val="Style5"/>
        <w:tabs>
          <w:tab w:val="left" w:pos="7371"/>
        </w:tabs>
        <w:rPr>
          <w:rFonts w:eastAsia="Microsoft Sans Serif"/>
          <w:sz w:val="28"/>
          <w:szCs w:val="28"/>
          <w:lang w:bidi="ru-RU"/>
        </w:rPr>
      </w:pPr>
      <w:r w:rsidRPr="007114BE">
        <w:rPr>
          <w:rFonts w:eastAsia="Microsoft Sans Serif"/>
          <w:sz w:val="28"/>
          <w:szCs w:val="28"/>
          <w:lang w:bidi="ru-RU"/>
        </w:rPr>
        <w:t xml:space="preserve">Адрес электронной почты: </w:t>
      </w:r>
      <w:hyperlink r:id="rId10" w:history="1">
        <w:r w:rsidRPr="007114BE">
          <w:rPr>
            <w:rStyle w:val="af"/>
            <w:rFonts w:eastAsia="Microsoft Sans Serif"/>
            <w:sz w:val="28"/>
            <w:szCs w:val="28"/>
            <w:lang w:bidi="ru-RU"/>
          </w:rPr>
          <w:t>info@kusum.com</w:t>
        </w:r>
      </w:hyperlink>
    </w:p>
    <w:p w14:paraId="0D998A73" w14:textId="77777777" w:rsidR="007D681B" w:rsidRPr="007114BE" w:rsidRDefault="007D681B" w:rsidP="004954E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611C31" w14:textId="77777777" w:rsidR="00482FDF" w:rsidRPr="007114BE" w:rsidRDefault="00482FDF" w:rsidP="004954E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14BE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 (телефон,  факс,  электронная  почта) организации </w:t>
      </w:r>
      <w:r w:rsidRPr="007114BE">
        <w:rPr>
          <w:rFonts w:ascii="Times New Roman" w:hAnsi="Times New Roman"/>
          <w:b/>
          <w:iCs/>
          <w:sz w:val="28"/>
          <w:szCs w:val="28"/>
        </w:rPr>
        <w:t xml:space="preserve">на территории Республики Казахстан, принимающей претензии (предложения)  по качеству лекарственных  средств  от потребителей и  </w:t>
      </w:r>
      <w:proofErr w:type="spellStart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>ответственной</w:t>
      </w:r>
      <w:proofErr w:type="spellEnd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>пострегистрационное</w:t>
      </w:r>
      <w:proofErr w:type="spellEnd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>наблюдение</w:t>
      </w:r>
      <w:proofErr w:type="spellEnd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>за</w:t>
      </w:r>
      <w:proofErr w:type="spellEnd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>безопасностью</w:t>
      </w:r>
      <w:proofErr w:type="spellEnd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>лекарственного</w:t>
      </w:r>
      <w:proofErr w:type="spellEnd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 xml:space="preserve"> </w:t>
      </w:r>
      <w:proofErr w:type="spellStart"/>
      <w:r w:rsidRPr="007114BE">
        <w:rPr>
          <w:rFonts w:ascii="Times New Roman" w:hAnsi="Times New Roman"/>
          <w:b/>
          <w:iCs/>
          <w:sz w:val="28"/>
          <w:szCs w:val="28"/>
          <w:lang w:val="de-DE" w:eastAsia="de-DE"/>
        </w:rPr>
        <w:t>средства</w:t>
      </w:r>
      <w:proofErr w:type="spellEnd"/>
    </w:p>
    <w:p w14:paraId="66836967" w14:textId="77777777" w:rsidR="00870BA9" w:rsidRPr="007114BE" w:rsidRDefault="007114BE" w:rsidP="007114BE">
      <w:pPr>
        <w:pStyle w:val="Style5"/>
        <w:rPr>
          <w:rFonts w:eastAsia="Microsoft Sans Serif"/>
          <w:sz w:val="28"/>
          <w:szCs w:val="28"/>
          <w:lang w:bidi="ru-RU"/>
        </w:rPr>
      </w:pPr>
      <w:r w:rsidRPr="007114BE">
        <w:rPr>
          <w:rFonts w:eastAsia="Microsoft Sans Serif"/>
          <w:sz w:val="28"/>
          <w:szCs w:val="28"/>
          <w:lang w:bidi="ru-RU"/>
        </w:rPr>
        <w:t>ТОО «</w:t>
      </w:r>
      <w:proofErr w:type="spellStart"/>
      <w:r w:rsidRPr="007114BE">
        <w:rPr>
          <w:rFonts w:eastAsia="Microsoft Sans Serif"/>
          <w:sz w:val="28"/>
          <w:szCs w:val="28"/>
          <w:lang w:bidi="ru-RU"/>
        </w:rPr>
        <w:t>Дәрі</w:t>
      </w:r>
      <w:proofErr w:type="spellEnd"/>
      <w:r w:rsidRPr="007114BE">
        <w:rPr>
          <w:rFonts w:eastAsia="Microsoft Sans Serif"/>
          <w:sz w:val="28"/>
          <w:szCs w:val="28"/>
          <w:lang w:bidi="ru-RU"/>
        </w:rPr>
        <w:t xml:space="preserve">-Фарм (Казахстан)», г. Алматы, </w:t>
      </w:r>
      <w:r w:rsidR="00FD3846" w:rsidRPr="00FD3846">
        <w:rPr>
          <w:rFonts w:eastAsia="Microsoft Sans Serif"/>
          <w:sz w:val="28"/>
          <w:szCs w:val="28"/>
          <w:lang w:bidi="ru-RU"/>
        </w:rPr>
        <w:t xml:space="preserve">ул. Хаджи </w:t>
      </w:r>
      <w:proofErr w:type="spellStart"/>
      <w:r w:rsidR="00FD3846" w:rsidRPr="00FD3846">
        <w:rPr>
          <w:rFonts w:eastAsia="Microsoft Sans Serif"/>
          <w:sz w:val="28"/>
          <w:szCs w:val="28"/>
          <w:lang w:bidi="ru-RU"/>
        </w:rPr>
        <w:t>Мукана</w:t>
      </w:r>
      <w:proofErr w:type="spellEnd"/>
      <w:r w:rsidR="00FD3846" w:rsidRPr="00FD3846">
        <w:rPr>
          <w:rFonts w:eastAsia="Microsoft Sans Serif"/>
          <w:sz w:val="28"/>
          <w:szCs w:val="28"/>
          <w:lang w:bidi="ru-RU"/>
        </w:rPr>
        <w:t xml:space="preserve"> 22/5</w:t>
      </w:r>
      <w:r w:rsidRPr="007114BE">
        <w:rPr>
          <w:rFonts w:eastAsia="Microsoft Sans Serif"/>
          <w:sz w:val="28"/>
          <w:szCs w:val="28"/>
          <w:lang w:bidi="ru-RU"/>
        </w:rPr>
        <w:t>, БЦ «Хан-Тенгри», К</w:t>
      </w:r>
      <w:r w:rsidR="00870BA9" w:rsidRPr="007114BE">
        <w:rPr>
          <w:rFonts w:eastAsia="Microsoft Sans Serif"/>
          <w:sz w:val="28"/>
          <w:szCs w:val="28"/>
          <w:lang w:bidi="ru-RU"/>
        </w:rPr>
        <w:t>азахстан</w:t>
      </w:r>
    </w:p>
    <w:p w14:paraId="5A6F79F2" w14:textId="77777777" w:rsidR="00870BA9" w:rsidRPr="007114BE" w:rsidRDefault="00870BA9" w:rsidP="004954E1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7114BE">
        <w:rPr>
          <w:rFonts w:eastAsia="Microsoft Sans Serif"/>
          <w:sz w:val="28"/>
          <w:szCs w:val="28"/>
          <w:lang w:bidi="ru-RU"/>
        </w:rPr>
        <w:t>Тел/факс: 8(727) 295-26-50 </w:t>
      </w:r>
    </w:p>
    <w:p w14:paraId="01A6177A" w14:textId="77777777" w:rsidR="00870BA9" w:rsidRPr="00870BA9" w:rsidRDefault="00870BA9" w:rsidP="004954E1">
      <w:pPr>
        <w:pStyle w:val="Style5"/>
        <w:widowControl/>
        <w:tabs>
          <w:tab w:val="left" w:pos="7371"/>
        </w:tabs>
        <w:spacing w:line="240" w:lineRule="auto"/>
        <w:rPr>
          <w:rFonts w:eastAsia="Microsoft Sans Serif"/>
          <w:sz w:val="28"/>
          <w:szCs w:val="28"/>
          <w:lang w:bidi="ru-RU"/>
        </w:rPr>
      </w:pPr>
      <w:r w:rsidRPr="007114BE">
        <w:rPr>
          <w:rFonts w:eastAsia="Microsoft Sans Serif"/>
          <w:sz w:val="28"/>
          <w:szCs w:val="28"/>
          <w:lang w:bidi="ru-RU"/>
        </w:rPr>
        <w:t xml:space="preserve">Адрес электронной почты: </w:t>
      </w:r>
      <w:hyperlink r:id="rId11" w:history="1">
        <w:r w:rsidRPr="007114BE">
          <w:rPr>
            <w:rStyle w:val="af"/>
            <w:rFonts w:eastAsia="Microsoft Sans Serif"/>
            <w:sz w:val="28"/>
            <w:szCs w:val="28"/>
            <w:lang w:bidi="ru-RU"/>
          </w:rPr>
          <w:t>phv@kusum.kz</w:t>
        </w:r>
      </w:hyperlink>
    </w:p>
    <w:sectPr w:rsidR="00870BA9" w:rsidRPr="00870BA9" w:rsidSect="00F97B57">
      <w:head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5F32" w14:textId="77777777" w:rsidR="00734052" w:rsidRDefault="00734052" w:rsidP="00D275FC">
      <w:pPr>
        <w:spacing w:after="0" w:line="240" w:lineRule="auto"/>
      </w:pPr>
      <w:r>
        <w:separator/>
      </w:r>
    </w:p>
  </w:endnote>
  <w:endnote w:type="continuationSeparator" w:id="0">
    <w:p w14:paraId="76CD7B98" w14:textId="77777777" w:rsidR="00734052" w:rsidRDefault="00734052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B618B" w14:textId="77777777" w:rsidR="00734052" w:rsidRDefault="00734052" w:rsidP="00D275FC">
      <w:pPr>
        <w:spacing w:after="0" w:line="240" w:lineRule="auto"/>
      </w:pPr>
      <w:r>
        <w:separator/>
      </w:r>
    </w:p>
  </w:footnote>
  <w:footnote w:type="continuationSeparator" w:id="0">
    <w:p w14:paraId="6C5DD9F9" w14:textId="77777777" w:rsidR="00734052" w:rsidRDefault="00734052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15DD" w14:textId="77777777" w:rsidR="00D275FC" w:rsidRDefault="00722D54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2C9FF0" wp14:editId="61006DF6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8763E9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C9FF0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" filled="f" stroked="f" strokeweight=".5pt">
              <v:path arrowok="t"/>
              <v:textbox style="layout-flow:vertical;mso-layout-flow-alt:bottom-to-top">
                <w:txbxContent>
                  <w:p w14:paraId="688763E9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147A7A"/>
    <w:multiLevelType w:val="hybridMultilevel"/>
    <w:tmpl w:val="F36C0F00"/>
    <w:lvl w:ilvl="0" w:tplc="C28CEF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40DF"/>
    <w:multiLevelType w:val="hybridMultilevel"/>
    <w:tmpl w:val="B836A2C6"/>
    <w:lvl w:ilvl="0" w:tplc="C28CEF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5"/>
  </w:num>
  <w:num w:numId="6">
    <w:abstractNumId w:val="5"/>
  </w:num>
  <w:num w:numId="7">
    <w:abstractNumId w:val="23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1"/>
  </w:num>
  <w:num w:numId="14">
    <w:abstractNumId w:val="11"/>
  </w:num>
  <w:num w:numId="15">
    <w:abstractNumId w:val="0"/>
  </w:num>
  <w:num w:numId="16">
    <w:abstractNumId w:val="24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9"/>
  </w:num>
  <w:num w:numId="22">
    <w:abstractNumId w:val="4"/>
  </w:num>
  <w:num w:numId="23">
    <w:abstractNumId w:val="22"/>
  </w:num>
  <w:num w:numId="24">
    <w:abstractNumId w:val="10"/>
  </w:num>
  <w:num w:numId="25">
    <w:abstractNumId w:val="20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48"/>
    <w:rsid w:val="00010371"/>
    <w:rsid w:val="000264BB"/>
    <w:rsid w:val="00027879"/>
    <w:rsid w:val="00033FC1"/>
    <w:rsid w:val="00042999"/>
    <w:rsid w:val="00047AB6"/>
    <w:rsid w:val="0005577B"/>
    <w:rsid w:val="00075304"/>
    <w:rsid w:val="000852A1"/>
    <w:rsid w:val="000972E6"/>
    <w:rsid w:val="000A0D71"/>
    <w:rsid w:val="000A584E"/>
    <w:rsid w:val="000C2C4B"/>
    <w:rsid w:val="000C4C48"/>
    <w:rsid w:val="000C7C18"/>
    <w:rsid w:val="000E01AB"/>
    <w:rsid w:val="000E49F0"/>
    <w:rsid w:val="000E6126"/>
    <w:rsid w:val="00100406"/>
    <w:rsid w:val="00107A8A"/>
    <w:rsid w:val="00111788"/>
    <w:rsid w:val="0012149F"/>
    <w:rsid w:val="00132B9A"/>
    <w:rsid w:val="001368AE"/>
    <w:rsid w:val="00144CCD"/>
    <w:rsid w:val="0014739A"/>
    <w:rsid w:val="0015490C"/>
    <w:rsid w:val="00155A99"/>
    <w:rsid w:val="001573E2"/>
    <w:rsid w:val="0016278D"/>
    <w:rsid w:val="001937AD"/>
    <w:rsid w:val="001A2CB2"/>
    <w:rsid w:val="001A3453"/>
    <w:rsid w:val="001A5656"/>
    <w:rsid w:val="001B0F99"/>
    <w:rsid w:val="001B6AEC"/>
    <w:rsid w:val="001E0E62"/>
    <w:rsid w:val="001E16A2"/>
    <w:rsid w:val="001E6F4C"/>
    <w:rsid w:val="001F16AA"/>
    <w:rsid w:val="00203355"/>
    <w:rsid w:val="00203EE6"/>
    <w:rsid w:val="00211005"/>
    <w:rsid w:val="00217D41"/>
    <w:rsid w:val="00222BDD"/>
    <w:rsid w:val="00222CA6"/>
    <w:rsid w:val="00232642"/>
    <w:rsid w:val="00234728"/>
    <w:rsid w:val="00234887"/>
    <w:rsid w:val="00237697"/>
    <w:rsid w:val="00250EDB"/>
    <w:rsid w:val="00256E10"/>
    <w:rsid w:val="00260413"/>
    <w:rsid w:val="00260EBC"/>
    <w:rsid w:val="00264710"/>
    <w:rsid w:val="00267567"/>
    <w:rsid w:val="00270B0A"/>
    <w:rsid w:val="00275C02"/>
    <w:rsid w:val="00281FBE"/>
    <w:rsid w:val="00290D2E"/>
    <w:rsid w:val="00292715"/>
    <w:rsid w:val="002A51ED"/>
    <w:rsid w:val="002A591C"/>
    <w:rsid w:val="002C10E1"/>
    <w:rsid w:val="002C15EB"/>
    <w:rsid w:val="002C1660"/>
    <w:rsid w:val="002C35A2"/>
    <w:rsid w:val="002C5345"/>
    <w:rsid w:val="002D56B7"/>
    <w:rsid w:val="002E0BAD"/>
    <w:rsid w:val="002E1928"/>
    <w:rsid w:val="002F4A14"/>
    <w:rsid w:val="003043BF"/>
    <w:rsid w:val="00320073"/>
    <w:rsid w:val="00321220"/>
    <w:rsid w:val="00322BD8"/>
    <w:rsid w:val="003262DF"/>
    <w:rsid w:val="0036288F"/>
    <w:rsid w:val="00365B10"/>
    <w:rsid w:val="00367BA7"/>
    <w:rsid w:val="003761C0"/>
    <w:rsid w:val="003812B2"/>
    <w:rsid w:val="00383CDB"/>
    <w:rsid w:val="003859F4"/>
    <w:rsid w:val="003879F9"/>
    <w:rsid w:val="003A035E"/>
    <w:rsid w:val="003B0285"/>
    <w:rsid w:val="003C420B"/>
    <w:rsid w:val="003D51E7"/>
    <w:rsid w:val="003E13CF"/>
    <w:rsid w:val="003F5344"/>
    <w:rsid w:val="003F7EDC"/>
    <w:rsid w:val="003F7F56"/>
    <w:rsid w:val="00404548"/>
    <w:rsid w:val="00410EFA"/>
    <w:rsid w:val="0041162E"/>
    <w:rsid w:val="00415473"/>
    <w:rsid w:val="0042786D"/>
    <w:rsid w:val="00433C62"/>
    <w:rsid w:val="00434153"/>
    <w:rsid w:val="004434E0"/>
    <w:rsid w:val="00472EF5"/>
    <w:rsid w:val="00482FDF"/>
    <w:rsid w:val="0048687C"/>
    <w:rsid w:val="004954E1"/>
    <w:rsid w:val="004A31B4"/>
    <w:rsid w:val="004B172B"/>
    <w:rsid w:val="004C1922"/>
    <w:rsid w:val="004C462F"/>
    <w:rsid w:val="004D49E9"/>
    <w:rsid w:val="005006BF"/>
    <w:rsid w:val="005071DA"/>
    <w:rsid w:val="00523D82"/>
    <w:rsid w:val="00541A00"/>
    <w:rsid w:val="005444B2"/>
    <w:rsid w:val="00552F8B"/>
    <w:rsid w:val="00561FE7"/>
    <w:rsid w:val="00575348"/>
    <w:rsid w:val="005869C5"/>
    <w:rsid w:val="005974CA"/>
    <w:rsid w:val="005A2954"/>
    <w:rsid w:val="005A3C81"/>
    <w:rsid w:val="005A5680"/>
    <w:rsid w:val="005A5A46"/>
    <w:rsid w:val="005A6639"/>
    <w:rsid w:val="005A6914"/>
    <w:rsid w:val="005B3FFE"/>
    <w:rsid w:val="005C1519"/>
    <w:rsid w:val="005C1C4E"/>
    <w:rsid w:val="005C4A16"/>
    <w:rsid w:val="005D68C6"/>
    <w:rsid w:val="005D6A1E"/>
    <w:rsid w:val="005D7EE3"/>
    <w:rsid w:val="005E50DE"/>
    <w:rsid w:val="005F7097"/>
    <w:rsid w:val="0060364A"/>
    <w:rsid w:val="00617843"/>
    <w:rsid w:val="00620F34"/>
    <w:rsid w:val="00624C1B"/>
    <w:rsid w:val="00625471"/>
    <w:rsid w:val="00627853"/>
    <w:rsid w:val="00630D1D"/>
    <w:rsid w:val="00634C3A"/>
    <w:rsid w:val="00634D0C"/>
    <w:rsid w:val="006360EC"/>
    <w:rsid w:val="00652BCE"/>
    <w:rsid w:val="00652E29"/>
    <w:rsid w:val="00653617"/>
    <w:rsid w:val="00661F00"/>
    <w:rsid w:val="00667B3B"/>
    <w:rsid w:val="0067136B"/>
    <w:rsid w:val="00691208"/>
    <w:rsid w:val="00697B98"/>
    <w:rsid w:val="006A23C4"/>
    <w:rsid w:val="006A702E"/>
    <w:rsid w:val="006B7A90"/>
    <w:rsid w:val="006C5F38"/>
    <w:rsid w:val="006D7D5A"/>
    <w:rsid w:val="006E4305"/>
    <w:rsid w:val="006F5763"/>
    <w:rsid w:val="006F7A1C"/>
    <w:rsid w:val="00704BAB"/>
    <w:rsid w:val="00706EA8"/>
    <w:rsid w:val="007104D1"/>
    <w:rsid w:val="007114BE"/>
    <w:rsid w:val="007135A6"/>
    <w:rsid w:val="00722D54"/>
    <w:rsid w:val="00733A73"/>
    <w:rsid w:val="00734052"/>
    <w:rsid w:val="00746FF2"/>
    <w:rsid w:val="00761133"/>
    <w:rsid w:val="00764E84"/>
    <w:rsid w:val="007708A3"/>
    <w:rsid w:val="007762F8"/>
    <w:rsid w:val="00783520"/>
    <w:rsid w:val="00783F38"/>
    <w:rsid w:val="007A02D3"/>
    <w:rsid w:val="007A18B1"/>
    <w:rsid w:val="007A435C"/>
    <w:rsid w:val="007C055A"/>
    <w:rsid w:val="007C1693"/>
    <w:rsid w:val="007C6956"/>
    <w:rsid w:val="007D0E84"/>
    <w:rsid w:val="007D681B"/>
    <w:rsid w:val="007E05A6"/>
    <w:rsid w:val="007E1D85"/>
    <w:rsid w:val="007E5CC8"/>
    <w:rsid w:val="0081154A"/>
    <w:rsid w:val="00820B36"/>
    <w:rsid w:val="00827BB2"/>
    <w:rsid w:val="008329DA"/>
    <w:rsid w:val="008330E7"/>
    <w:rsid w:val="008353A4"/>
    <w:rsid w:val="00847154"/>
    <w:rsid w:val="0086657B"/>
    <w:rsid w:val="00870BA9"/>
    <w:rsid w:val="008832E5"/>
    <w:rsid w:val="0088489A"/>
    <w:rsid w:val="00891677"/>
    <w:rsid w:val="00897669"/>
    <w:rsid w:val="008C015B"/>
    <w:rsid w:val="008C0181"/>
    <w:rsid w:val="008D4451"/>
    <w:rsid w:val="008D62B7"/>
    <w:rsid w:val="008E6895"/>
    <w:rsid w:val="00900B3C"/>
    <w:rsid w:val="00904376"/>
    <w:rsid w:val="00904FB5"/>
    <w:rsid w:val="0091136C"/>
    <w:rsid w:val="009130A2"/>
    <w:rsid w:val="00913664"/>
    <w:rsid w:val="00930D7D"/>
    <w:rsid w:val="00937662"/>
    <w:rsid w:val="0095047E"/>
    <w:rsid w:val="00956101"/>
    <w:rsid w:val="00961E5A"/>
    <w:rsid w:val="00962CD6"/>
    <w:rsid w:val="00993A60"/>
    <w:rsid w:val="009A56A4"/>
    <w:rsid w:val="009A6638"/>
    <w:rsid w:val="009B014E"/>
    <w:rsid w:val="009B1A31"/>
    <w:rsid w:val="009B52F5"/>
    <w:rsid w:val="009D1965"/>
    <w:rsid w:val="009D71D5"/>
    <w:rsid w:val="009D73A9"/>
    <w:rsid w:val="009E2887"/>
    <w:rsid w:val="009E5CB9"/>
    <w:rsid w:val="009F31F2"/>
    <w:rsid w:val="009F45A5"/>
    <w:rsid w:val="00A01C2E"/>
    <w:rsid w:val="00A02BB2"/>
    <w:rsid w:val="00A04052"/>
    <w:rsid w:val="00A108D3"/>
    <w:rsid w:val="00A12563"/>
    <w:rsid w:val="00A17B0B"/>
    <w:rsid w:val="00A37AE7"/>
    <w:rsid w:val="00A40D19"/>
    <w:rsid w:val="00A44F09"/>
    <w:rsid w:val="00A64470"/>
    <w:rsid w:val="00A71B2B"/>
    <w:rsid w:val="00AA1D5D"/>
    <w:rsid w:val="00AA5E2F"/>
    <w:rsid w:val="00AA7317"/>
    <w:rsid w:val="00AC2C0B"/>
    <w:rsid w:val="00AC4905"/>
    <w:rsid w:val="00AD473F"/>
    <w:rsid w:val="00AE52C9"/>
    <w:rsid w:val="00AE7922"/>
    <w:rsid w:val="00B01011"/>
    <w:rsid w:val="00B46F30"/>
    <w:rsid w:val="00B554A5"/>
    <w:rsid w:val="00B608C1"/>
    <w:rsid w:val="00B60D3D"/>
    <w:rsid w:val="00B61D95"/>
    <w:rsid w:val="00B9187F"/>
    <w:rsid w:val="00B961E0"/>
    <w:rsid w:val="00BB3050"/>
    <w:rsid w:val="00BB6AB2"/>
    <w:rsid w:val="00BB7831"/>
    <w:rsid w:val="00BC31BC"/>
    <w:rsid w:val="00BC6167"/>
    <w:rsid w:val="00BD39F5"/>
    <w:rsid w:val="00BD4704"/>
    <w:rsid w:val="00BE4435"/>
    <w:rsid w:val="00BE6B71"/>
    <w:rsid w:val="00C0534B"/>
    <w:rsid w:val="00C07BB3"/>
    <w:rsid w:val="00C2000E"/>
    <w:rsid w:val="00C254CB"/>
    <w:rsid w:val="00C37561"/>
    <w:rsid w:val="00C379C9"/>
    <w:rsid w:val="00C422B8"/>
    <w:rsid w:val="00C566D6"/>
    <w:rsid w:val="00C574E3"/>
    <w:rsid w:val="00C839ED"/>
    <w:rsid w:val="00C84299"/>
    <w:rsid w:val="00C92F14"/>
    <w:rsid w:val="00C97365"/>
    <w:rsid w:val="00CB3E55"/>
    <w:rsid w:val="00CC08BA"/>
    <w:rsid w:val="00CC330A"/>
    <w:rsid w:val="00CC5727"/>
    <w:rsid w:val="00CC63C5"/>
    <w:rsid w:val="00CC7DBD"/>
    <w:rsid w:val="00CF3849"/>
    <w:rsid w:val="00CF532C"/>
    <w:rsid w:val="00D0233C"/>
    <w:rsid w:val="00D11462"/>
    <w:rsid w:val="00D14D61"/>
    <w:rsid w:val="00D22A47"/>
    <w:rsid w:val="00D275FC"/>
    <w:rsid w:val="00D3576E"/>
    <w:rsid w:val="00D4157A"/>
    <w:rsid w:val="00D43297"/>
    <w:rsid w:val="00D46B0B"/>
    <w:rsid w:val="00D53F54"/>
    <w:rsid w:val="00D55ED8"/>
    <w:rsid w:val="00D70DB6"/>
    <w:rsid w:val="00D76048"/>
    <w:rsid w:val="00D77D1E"/>
    <w:rsid w:val="00D93C80"/>
    <w:rsid w:val="00D96A8F"/>
    <w:rsid w:val="00DB406A"/>
    <w:rsid w:val="00DC2BD6"/>
    <w:rsid w:val="00DE6B55"/>
    <w:rsid w:val="00DF02C1"/>
    <w:rsid w:val="00DF11A7"/>
    <w:rsid w:val="00E271CB"/>
    <w:rsid w:val="00E32373"/>
    <w:rsid w:val="00E34FE3"/>
    <w:rsid w:val="00E45C13"/>
    <w:rsid w:val="00E50298"/>
    <w:rsid w:val="00E55D6C"/>
    <w:rsid w:val="00E57396"/>
    <w:rsid w:val="00E606EC"/>
    <w:rsid w:val="00E63B9E"/>
    <w:rsid w:val="00E81A1B"/>
    <w:rsid w:val="00E81A86"/>
    <w:rsid w:val="00E8607B"/>
    <w:rsid w:val="00E91073"/>
    <w:rsid w:val="00E93583"/>
    <w:rsid w:val="00EA2F86"/>
    <w:rsid w:val="00EA6D39"/>
    <w:rsid w:val="00EB1D97"/>
    <w:rsid w:val="00EF4C53"/>
    <w:rsid w:val="00F006F1"/>
    <w:rsid w:val="00F07B7B"/>
    <w:rsid w:val="00F23B95"/>
    <w:rsid w:val="00F40388"/>
    <w:rsid w:val="00F54DE6"/>
    <w:rsid w:val="00F55DCB"/>
    <w:rsid w:val="00F63389"/>
    <w:rsid w:val="00F91977"/>
    <w:rsid w:val="00F97B57"/>
    <w:rsid w:val="00FA4F7C"/>
    <w:rsid w:val="00FB0456"/>
    <w:rsid w:val="00FB0F1E"/>
    <w:rsid w:val="00FB47F4"/>
    <w:rsid w:val="00FB798E"/>
    <w:rsid w:val="00FD2B12"/>
    <w:rsid w:val="00FD2B9F"/>
    <w:rsid w:val="00FD3846"/>
    <w:rsid w:val="00FD40C1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6F5F16"/>
  <w15:docId w15:val="{F10FD5C4-4119-4BF3-BE16-7433B692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uiPriority w:val="99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A5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1A5656"/>
    <w:rPr>
      <w:rFonts w:ascii="Times New Roman" w:hAnsi="Times New Roman" w:cs="Times New Roman"/>
      <w:sz w:val="22"/>
      <w:szCs w:val="22"/>
    </w:rPr>
  </w:style>
  <w:style w:type="paragraph" w:customStyle="1" w:styleId="afa">
    <w:name w:val="Знак"/>
    <w:basedOn w:val="a"/>
    <w:autoRedefine/>
    <w:rsid w:val="003F7F56"/>
    <w:pPr>
      <w:spacing w:after="160" w:line="360" w:lineRule="auto"/>
      <w:jc w:val="center"/>
    </w:pPr>
    <w:rPr>
      <w:rFonts w:ascii="Courier New" w:eastAsia="Times New Roman" w:hAnsi="Courier New" w:cs="Courier New"/>
      <w:lang w:eastAsia="ru-RU"/>
    </w:rPr>
  </w:style>
  <w:style w:type="character" w:customStyle="1" w:styleId="14">
    <w:name w:val="Неразрешенное упоминание1"/>
    <w:uiPriority w:val="99"/>
    <w:semiHidden/>
    <w:unhideWhenUsed/>
    <w:rsid w:val="00870BA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C37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da.k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hv@kusum.k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kusu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kusum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C2E1A-4820-4CFF-A475-5663FCE1D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4226</Words>
  <Characters>24091</Characters>
  <Application>Microsoft Office Word</Application>
  <DocSecurity>0</DocSecurity>
  <Lines>200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28261</CharactersWithSpaces>
  <SharedDoc>false</SharedDoc>
  <HLinks>
    <vt:vector size="24" baseType="variant">
      <vt:variant>
        <vt:i4>7995468</vt:i4>
      </vt:variant>
      <vt:variant>
        <vt:i4>9</vt:i4>
      </vt:variant>
      <vt:variant>
        <vt:i4>0</vt:i4>
      </vt:variant>
      <vt:variant>
        <vt:i4>5</vt:i4>
      </vt:variant>
      <vt:variant>
        <vt:lpwstr>mailto:phv@kusum.kz</vt:lpwstr>
      </vt:variant>
      <vt:variant>
        <vt:lpwstr/>
      </vt:variant>
      <vt:variant>
        <vt:i4>7077981</vt:i4>
      </vt:variant>
      <vt:variant>
        <vt:i4>6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7077981</vt:i4>
      </vt:variant>
      <vt:variant>
        <vt:i4>3</vt:i4>
      </vt:variant>
      <vt:variant>
        <vt:i4>0</vt:i4>
      </vt:variant>
      <vt:variant>
        <vt:i4>5</vt:i4>
      </vt:variant>
      <vt:variant>
        <vt:lpwstr>mailto:info@kusum.com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Марал Туманчинова</cp:lastModifiedBy>
  <cp:revision>2</cp:revision>
  <cp:lastPrinted>2019-10-28T06:14:00Z</cp:lastPrinted>
  <dcterms:created xsi:type="dcterms:W3CDTF">2022-02-03T09:31:00Z</dcterms:created>
  <dcterms:modified xsi:type="dcterms:W3CDTF">2022-02-03T09:31:00Z</dcterms:modified>
</cp:coreProperties>
</file>